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>
    <v:background id="_x0000_s2049" o:bwmode="white" fillcolor="white [3212]" o:targetscreensize="1024,768">
      <v:fill color2="#b3d8de [831]" angle="-90" focus="100%" type="gradient"/>
    </v:background>
  </w:background>
  <w:body>
    <w:p w14:paraId="5969F912" w14:textId="77777777" w:rsidR="00CA677D" w:rsidRDefault="00CA677D" w:rsidP="00CA677D">
      <w:pPr>
        <w:jc w:val="center"/>
        <w:rPr>
          <w:sz w:val="28"/>
          <w:lang w:val="hr-HR"/>
        </w:rPr>
      </w:pPr>
      <w:r w:rsidRPr="009B5CBF">
        <w:rPr>
          <w:sz w:val="28"/>
          <w:lang w:val="hr-HR"/>
        </w:rPr>
        <w:t>R E P U B L I K A   H R V A T S K A</w:t>
      </w:r>
    </w:p>
    <w:p w14:paraId="51851D53" w14:textId="77777777" w:rsidR="00CA677D" w:rsidRPr="009B5CBF" w:rsidRDefault="00CA677D" w:rsidP="00CA677D">
      <w:pPr>
        <w:jc w:val="center"/>
        <w:rPr>
          <w:sz w:val="28"/>
          <w:lang w:val="hr-HR"/>
        </w:rPr>
      </w:pPr>
    </w:p>
    <w:p w14:paraId="7AC2E7AB" w14:textId="77777777" w:rsidR="00CA677D" w:rsidRPr="009B5CBF" w:rsidRDefault="00CA677D" w:rsidP="00CA677D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OPĆINA DARDA</w:t>
      </w:r>
    </w:p>
    <w:p w14:paraId="223E8841" w14:textId="77777777" w:rsidR="00CA677D" w:rsidRPr="009B5CBF" w:rsidRDefault="00CA677D" w:rsidP="00CA677D">
      <w:pPr>
        <w:rPr>
          <w:lang w:val="hr-HR"/>
        </w:rPr>
      </w:pPr>
    </w:p>
    <w:p w14:paraId="53FDE647" w14:textId="77777777" w:rsidR="00CA677D" w:rsidRPr="009B5CBF" w:rsidRDefault="00CA677D" w:rsidP="00CA677D">
      <w:pPr>
        <w:rPr>
          <w:lang w:val="hr-HR"/>
        </w:rPr>
      </w:pPr>
    </w:p>
    <w:p w14:paraId="4E780244" w14:textId="77777777" w:rsidR="00CA677D" w:rsidRPr="009B5CBF" w:rsidRDefault="00CA677D" w:rsidP="00CA677D">
      <w:pPr>
        <w:rPr>
          <w:lang w:val="hr-HR"/>
        </w:rPr>
      </w:pPr>
    </w:p>
    <w:p w14:paraId="6CFBC7B0" w14:textId="77777777" w:rsidR="00CA677D" w:rsidRPr="009B5CBF" w:rsidRDefault="00CA677D" w:rsidP="00CA677D">
      <w:pPr>
        <w:rPr>
          <w:lang w:val="hr-HR"/>
        </w:rPr>
      </w:pPr>
    </w:p>
    <w:p w14:paraId="122894BD" w14:textId="77777777" w:rsidR="00CA677D" w:rsidRDefault="00CA677D" w:rsidP="00CA677D">
      <w:pPr>
        <w:rPr>
          <w:lang w:val="hr-HR"/>
        </w:rPr>
      </w:pPr>
    </w:p>
    <w:p w14:paraId="39DEDC6B" w14:textId="77777777" w:rsidR="00CA677D" w:rsidRDefault="00CA677D" w:rsidP="00CA677D">
      <w:pPr>
        <w:rPr>
          <w:lang w:val="hr-HR"/>
        </w:rPr>
      </w:pPr>
    </w:p>
    <w:p w14:paraId="35BAD2D5" w14:textId="77777777" w:rsidR="00CA677D" w:rsidRDefault="00CA677D" w:rsidP="00CA677D">
      <w:pPr>
        <w:rPr>
          <w:lang w:val="hr-HR"/>
        </w:rPr>
      </w:pPr>
    </w:p>
    <w:p w14:paraId="5B3706AD" w14:textId="77777777" w:rsidR="00CA677D" w:rsidRDefault="00CA677D" w:rsidP="00CA677D">
      <w:pPr>
        <w:rPr>
          <w:lang w:val="hr-HR"/>
        </w:rPr>
      </w:pPr>
    </w:p>
    <w:p w14:paraId="6907F7C2" w14:textId="77777777" w:rsidR="00CA677D" w:rsidRDefault="00CA677D" w:rsidP="00CA677D">
      <w:pPr>
        <w:rPr>
          <w:lang w:val="hr-HR"/>
        </w:rPr>
      </w:pPr>
    </w:p>
    <w:p w14:paraId="71B8B04E" w14:textId="77777777" w:rsidR="00CA677D" w:rsidRDefault="00CA677D" w:rsidP="00CA677D">
      <w:pPr>
        <w:rPr>
          <w:lang w:val="hr-HR"/>
        </w:rPr>
      </w:pPr>
    </w:p>
    <w:p w14:paraId="55509094" w14:textId="77777777" w:rsidR="00CA677D" w:rsidRPr="009B5CBF" w:rsidRDefault="00CA677D" w:rsidP="00CA677D">
      <w:pPr>
        <w:rPr>
          <w:lang w:val="hr-HR"/>
        </w:rPr>
      </w:pPr>
    </w:p>
    <w:p w14:paraId="0EC75B81" w14:textId="77777777" w:rsidR="00CA677D" w:rsidRPr="009B5CBF" w:rsidRDefault="00CA677D" w:rsidP="00CA677D">
      <w:pPr>
        <w:rPr>
          <w:lang w:val="hr-HR"/>
        </w:rPr>
      </w:pPr>
    </w:p>
    <w:p w14:paraId="110E2042" w14:textId="77777777" w:rsidR="00CA677D" w:rsidRPr="009B5CBF" w:rsidRDefault="00CA677D" w:rsidP="00CA677D">
      <w:pPr>
        <w:rPr>
          <w:lang w:val="hr-HR"/>
        </w:rPr>
      </w:pPr>
    </w:p>
    <w:p w14:paraId="65F846E3" w14:textId="77777777" w:rsidR="00CA677D" w:rsidRDefault="00CA677D" w:rsidP="00CA677D">
      <w:pPr>
        <w:pStyle w:val="Naslov"/>
        <w:jc w:val="center"/>
        <w:rPr>
          <w:lang w:val="hr-HR"/>
        </w:rPr>
      </w:pPr>
      <w:r>
        <w:rPr>
          <w:lang w:val="hr-HR"/>
        </w:rPr>
        <w:t>VODIĆ ZA GRAĐANE</w:t>
      </w:r>
    </w:p>
    <w:p w14:paraId="00C4542D" w14:textId="77777777" w:rsidR="00CA677D" w:rsidRPr="00CA677D" w:rsidRDefault="00CA677D" w:rsidP="00CA677D">
      <w:pPr>
        <w:pStyle w:val="Naslov"/>
        <w:jc w:val="center"/>
        <w:rPr>
          <w:lang w:val="hr-HR"/>
        </w:rPr>
      </w:pPr>
    </w:p>
    <w:p w14:paraId="06DDF06F" w14:textId="7ADB259F" w:rsidR="00CA677D" w:rsidRPr="009B5CBF" w:rsidRDefault="00CA677D" w:rsidP="00CA677D">
      <w:pPr>
        <w:pStyle w:val="Naslov"/>
        <w:jc w:val="center"/>
        <w:rPr>
          <w:lang w:val="hr-HR"/>
        </w:rPr>
      </w:pPr>
      <w:r>
        <w:rPr>
          <w:lang w:val="hr-HR"/>
        </w:rPr>
        <w:t>PRORAČUN OPĆINE DARDA ZA 202</w:t>
      </w:r>
      <w:r w:rsidR="006F60D3">
        <w:rPr>
          <w:lang w:val="hr-HR"/>
        </w:rPr>
        <w:t>6</w:t>
      </w:r>
      <w:r>
        <w:rPr>
          <w:lang w:val="hr-HR"/>
        </w:rPr>
        <w:t>. GODINU I PROJEKCIJE ZA 202</w:t>
      </w:r>
      <w:r w:rsidR="006F60D3">
        <w:rPr>
          <w:lang w:val="hr-HR"/>
        </w:rPr>
        <w:t>7</w:t>
      </w:r>
      <w:r>
        <w:rPr>
          <w:lang w:val="hr-HR"/>
        </w:rPr>
        <w:t>. I 202</w:t>
      </w:r>
      <w:r w:rsidR="006F60D3">
        <w:rPr>
          <w:lang w:val="hr-HR"/>
        </w:rPr>
        <w:t>8</w:t>
      </w:r>
      <w:r>
        <w:rPr>
          <w:lang w:val="hr-HR"/>
        </w:rPr>
        <w:t>. GODINU</w:t>
      </w:r>
    </w:p>
    <w:p w14:paraId="0B5D7AA4" w14:textId="77777777" w:rsidR="00CA677D" w:rsidRPr="009B5CBF" w:rsidRDefault="00CA677D" w:rsidP="00CA677D">
      <w:pPr>
        <w:rPr>
          <w:lang w:val="hr-HR"/>
        </w:rPr>
      </w:pPr>
    </w:p>
    <w:p w14:paraId="1C3699EB" w14:textId="77777777" w:rsidR="00CA677D" w:rsidRPr="009B5CBF" w:rsidRDefault="00CA677D" w:rsidP="00CA677D">
      <w:pPr>
        <w:rPr>
          <w:lang w:val="hr-HR"/>
        </w:rPr>
      </w:pPr>
    </w:p>
    <w:p w14:paraId="75BB8E44" w14:textId="77777777" w:rsidR="00CA677D" w:rsidRPr="009B5CBF" w:rsidRDefault="00CA677D" w:rsidP="00CA677D">
      <w:pPr>
        <w:rPr>
          <w:lang w:val="hr-HR"/>
        </w:rPr>
      </w:pPr>
    </w:p>
    <w:p w14:paraId="374DD09C" w14:textId="77777777" w:rsidR="00CA677D" w:rsidRPr="009B5CBF" w:rsidRDefault="00CA677D" w:rsidP="00CA677D">
      <w:pPr>
        <w:rPr>
          <w:lang w:val="hr-HR"/>
        </w:rPr>
      </w:pPr>
    </w:p>
    <w:p w14:paraId="3F48C351" w14:textId="77777777" w:rsidR="00CA677D" w:rsidRPr="009B5CBF" w:rsidRDefault="00CA677D" w:rsidP="00CA677D">
      <w:pPr>
        <w:rPr>
          <w:lang w:val="hr-HR"/>
        </w:rPr>
      </w:pPr>
    </w:p>
    <w:p w14:paraId="6579E1AD" w14:textId="77777777" w:rsidR="00A6299C" w:rsidRPr="004F357B" w:rsidRDefault="00A6299C" w:rsidP="00B86A43">
      <w:pPr>
        <w:pStyle w:val="Tijeloteksta"/>
        <w:rPr>
          <w:rFonts w:asciiTheme="minorHAnsi" w:hAnsiTheme="minorHAnsi" w:cstheme="minorHAnsi"/>
          <w:sz w:val="20"/>
          <w:lang w:val="hr-HR"/>
        </w:rPr>
      </w:pPr>
    </w:p>
    <w:p w14:paraId="0FD38F3B" w14:textId="77777777" w:rsidR="00A6299C" w:rsidRPr="004F357B" w:rsidRDefault="00A6299C" w:rsidP="00B86A43">
      <w:pPr>
        <w:pStyle w:val="Tijeloteksta"/>
        <w:rPr>
          <w:rFonts w:asciiTheme="minorHAnsi" w:hAnsiTheme="minorHAnsi" w:cstheme="minorHAnsi"/>
          <w:sz w:val="20"/>
          <w:lang w:val="hr-HR"/>
        </w:rPr>
      </w:pPr>
    </w:p>
    <w:p w14:paraId="422A74B1" w14:textId="77777777" w:rsidR="00A6299C" w:rsidRPr="004F357B" w:rsidRDefault="00A6299C" w:rsidP="00B86A43">
      <w:pPr>
        <w:pStyle w:val="Tijeloteksta"/>
        <w:rPr>
          <w:rFonts w:asciiTheme="minorHAnsi" w:hAnsiTheme="minorHAnsi" w:cstheme="minorHAnsi"/>
          <w:sz w:val="20"/>
          <w:lang w:val="hr-HR"/>
        </w:rPr>
      </w:pPr>
    </w:p>
    <w:p w14:paraId="71CB9539" w14:textId="77777777" w:rsidR="00A6299C" w:rsidRPr="004F357B" w:rsidRDefault="00A6299C" w:rsidP="00B86A43">
      <w:pPr>
        <w:pStyle w:val="Tijeloteksta"/>
        <w:rPr>
          <w:rFonts w:asciiTheme="minorHAnsi" w:hAnsiTheme="minorHAnsi" w:cstheme="minorHAnsi"/>
          <w:sz w:val="20"/>
          <w:lang w:val="hr-HR"/>
        </w:rPr>
      </w:pPr>
    </w:p>
    <w:p w14:paraId="2A288D44" w14:textId="77777777" w:rsidR="00A6299C" w:rsidRPr="004F357B" w:rsidRDefault="00A6299C" w:rsidP="00B86A43">
      <w:pPr>
        <w:pStyle w:val="Tijeloteksta"/>
        <w:rPr>
          <w:rFonts w:asciiTheme="minorHAnsi" w:hAnsiTheme="minorHAnsi" w:cstheme="minorHAnsi"/>
          <w:sz w:val="20"/>
          <w:lang w:val="hr-HR"/>
        </w:rPr>
      </w:pPr>
    </w:p>
    <w:p w14:paraId="70C0305C" w14:textId="77777777" w:rsidR="00A6299C" w:rsidRPr="004F357B" w:rsidRDefault="00A6299C" w:rsidP="00B86A43">
      <w:pPr>
        <w:pStyle w:val="Tijeloteksta"/>
        <w:rPr>
          <w:rFonts w:asciiTheme="minorHAnsi" w:hAnsiTheme="minorHAnsi" w:cstheme="minorHAnsi"/>
          <w:sz w:val="20"/>
          <w:lang w:val="hr-HR"/>
        </w:rPr>
      </w:pPr>
    </w:p>
    <w:p w14:paraId="180C1E47" w14:textId="77777777" w:rsidR="00A6299C" w:rsidRPr="004F357B" w:rsidRDefault="00A6299C" w:rsidP="00B86A43">
      <w:pPr>
        <w:pStyle w:val="Tijeloteksta"/>
        <w:rPr>
          <w:rFonts w:asciiTheme="minorHAnsi" w:hAnsiTheme="minorHAnsi" w:cstheme="minorHAnsi"/>
          <w:sz w:val="20"/>
          <w:lang w:val="hr-HR"/>
        </w:rPr>
      </w:pPr>
    </w:p>
    <w:p w14:paraId="23F25027" w14:textId="77777777" w:rsidR="00A6299C" w:rsidRPr="004F357B" w:rsidRDefault="00A6299C" w:rsidP="00B86A43">
      <w:pPr>
        <w:pStyle w:val="Tijeloteksta"/>
        <w:rPr>
          <w:rFonts w:asciiTheme="minorHAnsi" w:hAnsiTheme="minorHAnsi" w:cstheme="minorHAnsi"/>
          <w:sz w:val="20"/>
          <w:lang w:val="hr-HR"/>
        </w:rPr>
      </w:pPr>
    </w:p>
    <w:p w14:paraId="21F9B126" w14:textId="77777777" w:rsidR="00A6299C" w:rsidRPr="004F357B" w:rsidRDefault="00A6299C" w:rsidP="00B86A43">
      <w:pPr>
        <w:pStyle w:val="Tijeloteksta"/>
        <w:rPr>
          <w:rFonts w:asciiTheme="minorHAnsi" w:hAnsiTheme="minorHAnsi" w:cstheme="minorHAnsi"/>
          <w:sz w:val="20"/>
          <w:lang w:val="hr-HR"/>
        </w:rPr>
      </w:pPr>
    </w:p>
    <w:p w14:paraId="030DD580" w14:textId="77777777" w:rsidR="00A6299C" w:rsidRPr="004F357B" w:rsidRDefault="00A6299C" w:rsidP="00B86A43">
      <w:pPr>
        <w:pStyle w:val="Tijeloteksta"/>
        <w:rPr>
          <w:rFonts w:asciiTheme="minorHAnsi" w:hAnsiTheme="minorHAnsi" w:cstheme="minorHAnsi"/>
          <w:sz w:val="20"/>
          <w:lang w:val="hr-HR"/>
        </w:rPr>
      </w:pPr>
    </w:p>
    <w:p w14:paraId="44C4490C" w14:textId="77777777" w:rsidR="00A6299C" w:rsidRPr="004F357B" w:rsidRDefault="00A6299C" w:rsidP="00B86A43">
      <w:pPr>
        <w:pStyle w:val="Tijeloteksta"/>
        <w:rPr>
          <w:rFonts w:asciiTheme="minorHAnsi" w:hAnsiTheme="minorHAnsi" w:cstheme="minorHAnsi"/>
          <w:sz w:val="20"/>
          <w:lang w:val="hr-HR"/>
        </w:rPr>
      </w:pPr>
    </w:p>
    <w:p w14:paraId="39331805" w14:textId="77777777" w:rsidR="00A6299C" w:rsidRDefault="00A6299C" w:rsidP="00B86A43">
      <w:pPr>
        <w:pStyle w:val="Tijeloteksta"/>
        <w:rPr>
          <w:rFonts w:asciiTheme="minorHAnsi" w:hAnsiTheme="minorHAnsi" w:cstheme="minorHAnsi"/>
          <w:sz w:val="20"/>
          <w:lang w:val="hr-HR"/>
        </w:rPr>
      </w:pPr>
    </w:p>
    <w:p w14:paraId="782D4D4E" w14:textId="77777777" w:rsidR="00232447" w:rsidRDefault="00232447" w:rsidP="00B86A43">
      <w:pPr>
        <w:pStyle w:val="Tijeloteksta"/>
        <w:rPr>
          <w:rFonts w:asciiTheme="minorHAnsi" w:hAnsiTheme="minorHAnsi" w:cstheme="minorHAnsi"/>
          <w:sz w:val="20"/>
          <w:lang w:val="hr-HR"/>
        </w:rPr>
      </w:pPr>
    </w:p>
    <w:p w14:paraId="7CFBB333" w14:textId="77777777" w:rsidR="00232447" w:rsidRDefault="00232447" w:rsidP="00B86A43">
      <w:pPr>
        <w:pStyle w:val="Tijeloteksta"/>
        <w:rPr>
          <w:rFonts w:asciiTheme="minorHAnsi" w:hAnsiTheme="minorHAnsi" w:cstheme="minorHAnsi"/>
          <w:sz w:val="20"/>
          <w:lang w:val="hr-HR"/>
        </w:rPr>
      </w:pPr>
    </w:p>
    <w:p w14:paraId="5F16B41F" w14:textId="77777777" w:rsidR="00232447" w:rsidRDefault="00232447" w:rsidP="00B86A43">
      <w:pPr>
        <w:pStyle w:val="Tijeloteksta"/>
        <w:rPr>
          <w:rFonts w:asciiTheme="minorHAnsi" w:hAnsiTheme="minorHAnsi" w:cstheme="minorHAnsi"/>
          <w:sz w:val="20"/>
          <w:lang w:val="hr-HR"/>
        </w:rPr>
      </w:pPr>
    </w:p>
    <w:p w14:paraId="0508E833" w14:textId="77777777" w:rsidR="00232447" w:rsidRPr="004F357B" w:rsidRDefault="00232447" w:rsidP="00B86A43">
      <w:pPr>
        <w:pStyle w:val="Tijeloteksta"/>
        <w:rPr>
          <w:rFonts w:asciiTheme="minorHAnsi" w:hAnsiTheme="minorHAnsi" w:cstheme="minorHAnsi"/>
          <w:sz w:val="20"/>
          <w:lang w:val="hr-HR"/>
        </w:rPr>
      </w:pPr>
    </w:p>
    <w:p w14:paraId="41C0A553" w14:textId="77777777" w:rsidR="00B334FA" w:rsidRDefault="00B334FA" w:rsidP="00B334FA">
      <w:pPr>
        <w:tabs>
          <w:tab w:val="left" w:pos="6195"/>
        </w:tabs>
        <w:rPr>
          <w:rFonts w:asciiTheme="minorHAnsi" w:hAnsiTheme="minorHAnsi" w:cstheme="minorHAnsi"/>
          <w:sz w:val="36"/>
          <w:lang w:val="hr-HR"/>
        </w:rPr>
      </w:pPr>
      <w:r>
        <w:rPr>
          <w:rFonts w:asciiTheme="minorHAnsi" w:hAnsiTheme="minorHAnsi" w:cstheme="minorHAnsi"/>
          <w:sz w:val="36"/>
          <w:lang w:val="hr-HR"/>
        </w:rPr>
        <w:tab/>
      </w:r>
    </w:p>
    <w:p w14:paraId="16932EDB" w14:textId="77777777" w:rsidR="00B334FA" w:rsidRDefault="00B334FA" w:rsidP="00B334FA">
      <w:pPr>
        <w:rPr>
          <w:rFonts w:asciiTheme="minorHAnsi" w:hAnsiTheme="minorHAnsi" w:cstheme="minorHAnsi"/>
          <w:sz w:val="36"/>
          <w:lang w:val="hr-HR"/>
        </w:rPr>
      </w:pPr>
    </w:p>
    <w:p w14:paraId="277948E6" w14:textId="77777777" w:rsidR="00A6299C" w:rsidRPr="00B334FA" w:rsidRDefault="00A6299C" w:rsidP="00B334FA">
      <w:pPr>
        <w:rPr>
          <w:rFonts w:asciiTheme="minorHAnsi" w:hAnsiTheme="minorHAnsi" w:cstheme="minorHAnsi"/>
          <w:sz w:val="36"/>
          <w:lang w:val="hr-HR"/>
        </w:rPr>
        <w:sectPr w:rsidR="00A6299C" w:rsidRPr="00B334FA" w:rsidSect="00B334FA">
          <w:footerReference w:type="default" r:id="rId8"/>
          <w:type w:val="continuous"/>
          <w:pgSz w:w="11910" w:h="16840"/>
          <w:pgMar w:top="1580" w:right="995" w:bottom="280" w:left="1300" w:header="720" w:footer="720" w:gutter="0"/>
          <w:cols w:space="720"/>
          <w:titlePg/>
          <w:docGrid w:linePitch="299"/>
        </w:sectPr>
      </w:pPr>
    </w:p>
    <w:p w14:paraId="72EE6203" w14:textId="77777777" w:rsidR="00A6299C" w:rsidRPr="004F357B" w:rsidRDefault="004F357B" w:rsidP="003C76C7">
      <w:pPr>
        <w:pStyle w:val="Naslov2"/>
        <w:spacing w:after="240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noProof/>
          <w:spacing w:val="-1"/>
          <w:lang w:val="hr-HR"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2139C202" wp14:editId="3FD48538">
            <wp:simplePos x="0" y="0"/>
            <wp:positionH relativeFrom="margin">
              <wp:posOffset>-40640</wp:posOffset>
            </wp:positionH>
            <wp:positionV relativeFrom="margin">
              <wp:posOffset>-293370</wp:posOffset>
            </wp:positionV>
            <wp:extent cx="732790" cy="594995"/>
            <wp:effectExtent l="0" t="0" r="0" b="0"/>
            <wp:wrapSquare wrapText="bothSides"/>
            <wp:docPr id="4" name="Slika 4" descr="C:\Users\Anita\AppData\Local\Microsoft\Windows\INetCache\IE\DO5F9NXA\upitni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ta\AppData\Local\Microsoft\Windows\INetCache\IE\DO5F9NXA\upitnik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10B3" w:rsidRPr="004F357B">
        <w:rPr>
          <w:rFonts w:asciiTheme="minorHAnsi" w:hAnsiTheme="minorHAnsi" w:cstheme="minorHAnsi"/>
          <w:lang w:val="hr-HR"/>
        </w:rPr>
        <w:t>Što je proračun?</w:t>
      </w:r>
    </w:p>
    <w:p w14:paraId="3E3311B7" w14:textId="77777777" w:rsidR="00A6299C" w:rsidRPr="004F357B" w:rsidRDefault="00E810B3" w:rsidP="003C76C7">
      <w:pPr>
        <w:pStyle w:val="Tijeloteksta"/>
        <w:spacing w:line="276" w:lineRule="auto"/>
        <w:ind w:left="116" w:firstLine="707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Proračun je jedan od n</w:t>
      </w:r>
      <w:r w:rsidR="0070330A" w:rsidRPr="004F357B">
        <w:rPr>
          <w:rFonts w:asciiTheme="minorHAnsi" w:hAnsiTheme="minorHAnsi" w:cstheme="minorHAnsi"/>
          <w:lang w:val="hr-HR"/>
        </w:rPr>
        <w:t>ajvažnijih dokumenata koji se d</w:t>
      </w:r>
      <w:r w:rsidRPr="004F357B">
        <w:rPr>
          <w:rFonts w:asciiTheme="minorHAnsi" w:hAnsiTheme="minorHAnsi" w:cstheme="minorHAnsi"/>
          <w:lang w:val="hr-HR"/>
        </w:rPr>
        <w:t>onosi na razini jedinice lokalne i područne (regionalne) samouprave (JLP(R)S).</w:t>
      </w:r>
    </w:p>
    <w:p w14:paraId="483B6070" w14:textId="222954DC" w:rsidR="00A6299C" w:rsidRPr="004F357B" w:rsidRDefault="00E810B3" w:rsidP="003C76C7">
      <w:pPr>
        <w:pStyle w:val="Tijeloteksta"/>
        <w:spacing w:line="276" w:lineRule="auto"/>
        <w:ind w:left="116" w:firstLine="707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 xml:space="preserve">Proračun je akt kojim se procjenjuju prihodi i primici te utvrđuju rashodi i izdaci jedinice lokalne samouprave za proračunsku godinu. Sadrži i projekciju prihoda i primitaka te rashoda i izdataka za dvije godine unaprijed. Propis kojim su regulirana sva pitanja vezana uz proračun je Zakon o proračunu (Narodne novine </w:t>
      </w:r>
      <w:r w:rsidR="001A314D">
        <w:rPr>
          <w:rFonts w:asciiTheme="minorHAnsi" w:hAnsiTheme="minorHAnsi" w:cstheme="minorHAnsi"/>
          <w:lang w:val="hr-HR"/>
        </w:rPr>
        <w:t>144/21</w:t>
      </w:r>
      <w:r w:rsidRPr="004F357B">
        <w:rPr>
          <w:rFonts w:asciiTheme="minorHAnsi" w:hAnsiTheme="minorHAnsi" w:cstheme="minorHAnsi"/>
          <w:lang w:val="hr-HR"/>
        </w:rPr>
        <w:t>).</w:t>
      </w:r>
    </w:p>
    <w:p w14:paraId="28EF830E" w14:textId="77777777" w:rsidR="00A6299C" w:rsidRPr="004F357B" w:rsidRDefault="00A6299C" w:rsidP="003C76C7">
      <w:pPr>
        <w:pStyle w:val="Tijeloteksta"/>
        <w:spacing w:before="8"/>
        <w:jc w:val="both"/>
        <w:rPr>
          <w:rFonts w:asciiTheme="minorHAnsi" w:hAnsiTheme="minorHAnsi" w:cstheme="minorHAnsi"/>
          <w:sz w:val="27"/>
          <w:lang w:val="hr-HR"/>
        </w:rPr>
      </w:pPr>
    </w:p>
    <w:p w14:paraId="078365D0" w14:textId="77777777" w:rsidR="00A6299C" w:rsidRPr="004F357B" w:rsidRDefault="00E810B3" w:rsidP="003C76C7">
      <w:pPr>
        <w:pStyle w:val="Naslov2"/>
        <w:spacing w:after="240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Kako se donosi proračun?</w:t>
      </w:r>
    </w:p>
    <w:p w14:paraId="56E5991A" w14:textId="77777777" w:rsidR="00A6299C" w:rsidRPr="004F357B" w:rsidRDefault="00E810B3" w:rsidP="003C76C7">
      <w:pPr>
        <w:pStyle w:val="Tijeloteksta"/>
        <w:spacing w:line="276" w:lineRule="auto"/>
        <w:ind w:left="116" w:firstLine="707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Proračun donosi predstavničko tijelo jedinice lokalne samouprave odnosno Općinsko vijeće najkasnije do konca tekuće godine za iduću godinu prema prijedlogu kojega utvrđuje načelnik. Ako se proračun ne donese u roku slijedi privremeno financiranje, raspuštanje Općinskog vijeća i prijevremeni izbori za općinsko vijeće.</w:t>
      </w:r>
    </w:p>
    <w:p w14:paraId="412F71A8" w14:textId="77777777" w:rsidR="00A6299C" w:rsidRPr="004F357B" w:rsidRDefault="00A6299C" w:rsidP="003C76C7">
      <w:pPr>
        <w:pStyle w:val="Tijeloteksta"/>
        <w:spacing w:before="7"/>
        <w:jc w:val="both"/>
        <w:rPr>
          <w:rFonts w:asciiTheme="minorHAnsi" w:hAnsiTheme="minorHAnsi" w:cstheme="minorHAnsi"/>
          <w:sz w:val="27"/>
          <w:lang w:val="hr-HR"/>
        </w:rPr>
      </w:pPr>
    </w:p>
    <w:p w14:paraId="5428137F" w14:textId="77777777" w:rsidR="00A6299C" w:rsidRPr="004F357B" w:rsidRDefault="00E810B3" w:rsidP="003C76C7">
      <w:pPr>
        <w:pStyle w:val="Naslov2"/>
        <w:spacing w:after="240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Načela proračuna</w:t>
      </w:r>
    </w:p>
    <w:p w14:paraId="2080C455" w14:textId="77777777" w:rsidR="00A6299C" w:rsidRPr="004F357B" w:rsidRDefault="00E810B3" w:rsidP="003C76C7">
      <w:pPr>
        <w:pStyle w:val="Tijeloteksta"/>
        <w:spacing w:line="276" w:lineRule="auto"/>
        <w:ind w:left="116" w:firstLine="707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Postoje načela proračuna kojih se moraju pridržavati svi koji sastavljaju proračune, uz pomoć kojih predstavnička vlas</w:t>
      </w:r>
      <w:r w:rsidR="0070330A" w:rsidRPr="004F357B">
        <w:rPr>
          <w:rFonts w:asciiTheme="minorHAnsi" w:hAnsiTheme="minorHAnsi" w:cstheme="minorHAnsi"/>
          <w:lang w:val="hr-HR"/>
        </w:rPr>
        <w:t>t</w:t>
      </w:r>
      <w:r w:rsidRPr="004F357B">
        <w:rPr>
          <w:rFonts w:asciiTheme="minorHAnsi" w:hAnsiTheme="minorHAnsi" w:cstheme="minorHAnsi"/>
          <w:lang w:val="hr-HR"/>
        </w:rPr>
        <w:t xml:space="preserve"> (Općinsko vijeće) može kontrolirati i ograničavati izvršnu vlast (načelnika) u prikupljanju sredstava i načinu njihova trošenja.</w:t>
      </w:r>
    </w:p>
    <w:p w14:paraId="06F8B884" w14:textId="77777777" w:rsidR="00A6299C" w:rsidRPr="004F357B" w:rsidRDefault="00E810B3" w:rsidP="003C76C7">
      <w:pPr>
        <w:pStyle w:val="Tijeloteksta"/>
        <w:spacing w:line="278" w:lineRule="auto"/>
        <w:ind w:left="1560" w:hanging="737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i/>
          <w:lang w:val="hr-HR"/>
        </w:rPr>
        <w:t xml:space="preserve">Načelo uravnoteženosti </w:t>
      </w:r>
      <w:r w:rsidRPr="004F357B">
        <w:rPr>
          <w:rFonts w:asciiTheme="minorHAnsi" w:hAnsiTheme="minorHAnsi" w:cstheme="minorHAnsi"/>
          <w:lang w:val="hr-HR"/>
        </w:rPr>
        <w:t>- prihodi moraju biti jednaki rashodima, odnosno  Općina smije trošiti samo onoliko sredstava koliko ih može</w:t>
      </w:r>
      <w:r w:rsidRPr="004F357B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4F357B">
        <w:rPr>
          <w:rFonts w:asciiTheme="minorHAnsi" w:hAnsiTheme="minorHAnsi" w:cstheme="minorHAnsi"/>
          <w:lang w:val="hr-HR"/>
        </w:rPr>
        <w:t>prikupiti.</w:t>
      </w:r>
    </w:p>
    <w:p w14:paraId="0ECB45F2" w14:textId="77777777" w:rsidR="00A6299C" w:rsidRPr="004F357B" w:rsidRDefault="00E810B3" w:rsidP="003C76C7">
      <w:pPr>
        <w:pStyle w:val="Tijeloteksta"/>
        <w:spacing w:line="278" w:lineRule="auto"/>
        <w:ind w:left="1560" w:hanging="737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i/>
          <w:lang w:val="hr-HR"/>
        </w:rPr>
        <w:t xml:space="preserve">Načelo jedne godine </w:t>
      </w:r>
      <w:r w:rsidRPr="004F357B">
        <w:rPr>
          <w:rFonts w:asciiTheme="minorHAnsi" w:hAnsiTheme="minorHAnsi" w:cstheme="minorHAnsi"/>
          <w:lang w:val="hr-HR"/>
        </w:rPr>
        <w:t>- prihodi i rashodi se planiraju za jednu proračunsku, odnosno kalendarsku godinu.</w:t>
      </w:r>
    </w:p>
    <w:p w14:paraId="27470BEA" w14:textId="77777777" w:rsidR="00A6299C" w:rsidRPr="004F357B" w:rsidRDefault="00E810B3" w:rsidP="003C76C7">
      <w:pPr>
        <w:pStyle w:val="Tijeloteksta"/>
        <w:spacing w:line="278" w:lineRule="auto"/>
        <w:ind w:left="1560" w:hanging="737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i/>
          <w:lang w:val="hr-HR"/>
        </w:rPr>
        <w:t xml:space="preserve">Načelo jedinstva i točnosti </w:t>
      </w:r>
      <w:r w:rsidRPr="004F357B">
        <w:rPr>
          <w:rFonts w:asciiTheme="minorHAnsi" w:hAnsiTheme="minorHAnsi" w:cstheme="minorHAnsi"/>
          <w:lang w:val="hr-HR"/>
        </w:rPr>
        <w:t>- svi proračunski prihodi moraju biti prikazani u samom proračunu, a rashodi se moraju trošiti na način i u iznosima kako je proračunom planirano.</w:t>
      </w:r>
    </w:p>
    <w:p w14:paraId="6BA0CFEB" w14:textId="77777777" w:rsidR="00A6299C" w:rsidRPr="004F357B" w:rsidRDefault="00E810B3" w:rsidP="003C76C7">
      <w:pPr>
        <w:pStyle w:val="Tijeloteksta"/>
        <w:spacing w:line="278" w:lineRule="auto"/>
        <w:ind w:left="1560" w:hanging="737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i/>
          <w:lang w:val="hr-HR"/>
        </w:rPr>
        <w:t xml:space="preserve">Načelo univerzalnosti </w:t>
      </w:r>
      <w:r w:rsidRPr="004F357B">
        <w:rPr>
          <w:rFonts w:asciiTheme="minorHAnsi" w:hAnsiTheme="minorHAnsi" w:cstheme="minorHAnsi"/>
          <w:lang w:val="hr-HR"/>
        </w:rPr>
        <w:t xml:space="preserve">- svi proračunski prihodi mogu se koristiti za financiranje svih rashoda. No, postoje i zakonom i odlukama propisane iznimke, </w:t>
      </w:r>
      <w:r w:rsidR="0070330A" w:rsidRPr="004F357B">
        <w:rPr>
          <w:rFonts w:asciiTheme="minorHAnsi" w:hAnsiTheme="minorHAnsi" w:cstheme="minorHAnsi"/>
          <w:lang w:val="hr-HR"/>
        </w:rPr>
        <w:t>odnosno namjenski prihodi.</w:t>
      </w:r>
    </w:p>
    <w:p w14:paraId="13556841" w14:textId="77777777" w:rsidR="00A6299C" w:rsidRPr="004F357B" w:rsidRDefault="00E810B3" w:rsidP="003C76C7">
      <w:pPr>
        <w:pStyle w:val="Tijeloteksta"/>
        <w:spacing w:line="278" w:lineRule="auto"/>
        <w:ind w:left="1560" w:hanging="737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i/>
          <w:lang w:val="hr-HR"/>
        </w:rPr>
        <w:t xml:space="preserve">Načelo specifikacije </w:t>
      </w:r>
      <w:r w:rsidRPr="004F357B">
        <w:rPr>
          <w:rFonts w:asciiTheme="minorHAnsi" w:hAnsiTheme="minorHAnsi" w:cstheme="minorHAnsi"/>
          <w:lang w:val="hr-HR"/>
        </w:rPr>
        <w:t>- svi prihodi moraju biti raspoređeni po ekonomskoj klasifikaciji i iskazani prema izvorima, a rashodi prema proračunskim klasifikacijama te moraju biti uravnoteženi s prihodima.</w:t>
      </w:r>
    </w:p>
    <w:p w14:paraId="4E8D3F15" w14:textId="77777777" w:rsidR="00A6299C" w:rsidRPr="004F357B" w:rsidRDefault="00E810B3" w:rsidP="003C76C7">
      <w:pPr>
        <w:pStyle w:val="Tijeloteksta"/>
        <w:spacing w:line="278" w:lineRule="auto"/>
        <w:ind w:left="1560" w:hanging="737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i/>
          <w:lang w:val="hr-HR"/>
        </w:rPr>
        <w:t xml:space="preserve">Načelo </w:t>
      </w:r>
      <w:r w:rsidR="0070330A" w:rsidRPr="004F357B">
        <w:rPr>
          <w:rFonts w:asciiTheme="minorHAnsi" w:hAnsiTheme="minorHAnsi" w:cstheme="minorHAnsi"/>
          <w:i/>
          <w:lang w:val="hr-HR"/>
        </w:rPr>
        <w:t>transparentnosti</w:t>
      </w:r>
      <w:r w:rsidRPr="004F357B">
        <w:rPr>
          <w:rFonts w:asciiTheme="minorHAnsi" w:hAnsiTheme="minorHAnsi" w:cstheme="minorHAnsi"/>
          <w:i/>
          <w:lang w:val="hr-HR"/>
        </w:rPr>
        <w:t xml:space="preserve"> </w:t>
      </w:r>
      <w:r w:rsidRPr="004F357B">
        <w:rPr>
          <w:rFonts w:asciiTheme="minorHAnsi" w:hAnsiTheme="minorHAnsi" w:cstheme="minorHAnsi"/>
          <w:lang w:val="hr-HR"/>
        </w:rPr>
        <w:t xml:space="preserve">- proračun mora biti dostupan javnosti, pa se izglasani proračun objavljuje u "Službenom </w:t>
      </w:r>
      <w:r w:rsidR="0070330A" w:rsidRPr="004F357B">
        <w:rPr>
          <w:rFonts w:asciiTheme="minorHAnsi" w:hAnsiTheme="minorHAnsi" w:cstheme="minorHAnsi"/>
          <w:lang w:val="hr-HR"/>
        </w:rPr>
        <w:t>glasniku</w:t>
      </w:r>
      <w:r w:rsidRPr="004F357B">
        <w:rPr>
          <w:rFonts w:asciiTheme="minorHAnsi" w:hAnsiTheme="minorHAnsi" w:cstheme="minorHAnsi"/>
          <w:lang w:val="hr-HR"/>
        </w:rPr>
        <w:t xml:space="preserve">". </w:t>
      </w:r>
      <w:r w:rsidR="0070330A" w:rsidRPr="004F357B">
        <w:rPr>
          <w:rFonts w:asciiTheme="minorHAnsi" w:hAnsiTheme="minorHAnsi" w:cstheme="minorHAnsi"/>
          <w:lang w:val="hr-HR"/>
        </w:rPr>
        <w:t>P</w:t>
      </w:r>
      <w:r w:rsidRPr="004F357B">
        <w:rPr>
          <w:rFonts w:asciiTheme="minorHAnsi" w:hAnsiTheme="minorHAnsi" w:cstheme="minorHAnsi"/>
          <w:lang w:val="hr-HR"/>
        </w:rPr>
        <w:t>otpuni polugodišnji i godišnji izvještaji o izvršenju proračuna moraju se obja</w:t>
      </w:r>
      <w:r w:rsidR="0070330A" w:rsidRPr="004F357B">
        <w:rPr>
          <w:rFonts w:asciiTheme="minorHAnsi" w:hAnsiTheme="minorHAnsi" w:cstheme="minorHAnsi"/>
          <w:lang w:val="hr-HR"/>
        </w:rPr>
        <w:t>viti na mrežnim stranicama Opći</w:t>
      </w:r>
      <w:r w:rsidRPr="004F357B">
        <w:rPr>
          <w:rFonts w:asciiTheme="minorHAnsi" w:hAnsiTheme="minorHAnsi" w:cstheme="minorHAnsi"/>
          <w:lang w:val="hr-HR"/>
        </w:rPr>
        <w:t xml:space="preserve">ne, a dio i u "Službenom </w:t>
      </w:r>
      <w:r w:rsidR="0070330A" w:rsidRPr="004F357B">
        <w:rPr>
          <w:rFonts w:asciiTheme="minorHAnsi" w:hAnsiTheme="minorHAnsi" w:cstheme="minorHAnsi"/>
          <w:lang w:val="hr-HR"/>
        </w:rPr>
        <w:t xml:space="preserve"> glasniku</w:t>
      </w:r>
      <w:r w:rsidRPr="004F357B">
        <w:rPr>
          <w:rFonts w:asciiTheme="minorHAnsi" w:hAnsiTheme="minorHAnsi" w:cstheme="minorHAnsi"/>
          <w:lang w:val="hr-HR"/>
        </w:rPr>
        <w:t>".</w:t>
      </w:r>
    </w:p>
    <w:p w14:paraId="1BB9EEAF" w14:textId="77777777" w:rsidR="00A6299C" w:rsidRPr="004F357B" w:rsidRDefault="00E810B3" w:rsidP="003C76C7">
      <w:pPr>
        <w:pStyle w:val="Tijeloteksta"/>
        <w:spacing w:line="278" w:lineRule="auto"/>
        <w:ind w:left="1560" w:hanging="737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i/>
          <w:lang w:val="hr-HR"/>
        </w:rPr>
        <w:t xml:space="preserve">Načelo dobrog financijskog upravljanja </w:t>
      </w:r>
      <w:r w:rsidRPr="004F357B">
        <w:rPr>
          <w:rFonts w:asciiTheme="minorHAnsi" w:hAnsiTheme="minorHAnsi" w:cstheme="minorHAnsi"/>
          <w:lang w:val="hr-HR"/>
        </w:rPr>
        <w:t>- proračunska se sredstva moraju koristiti ekonomično, učinkovito i djelotvorno.</w:t>
      </w:r>
    </w:p>
    <w:p w14:paraId="4706722F" w14:textId="77777777" w:rsidR="00A6299C" w:rsidRPr="004F357B" w:rsidRDefault="00A6299C" w:rsidP="003C76C7">
      <w:pPr>
        <w:spacing w:line="278" w:lineRule="auto"/>
        <w:jc w:val="both"/>
        <w:rPr>
          <w:rFonts w:asciiTheme="minorHAnsi" w:hAnsiTheme="minorHAnsi" w:cstheme="minorHAnsi"/>
          <w:sz w:val="24"/>
          <w:lang w:val="hr-HR"/>
        </w:rPr>
        <w:sectPr w:rsidR="00A6299C" w:rsidRPr="004F357B" w:rsidSect="00B86A43">
          <w:pgSz w:w="11910" w:h="16840"/>
          <w:pgMar w:top="1320" w:right="995" w:bottom="280" w:left="1300" w:header="720" w:footer="720" w:gutter="0"/>
          <w:cols w:space="720"/>
        </w:sectPr>
      </w:pPr>
    </w:p>
    <w:p w14:paraId="5D576145" w14:textId="77777777" w:rsidR="00A6299C" w:rsidRPr="004F357B" w:rsidRDefault="00E810B3" w:rsidP="003C76C7">
      <w:pPr>
        <w:pStyle w:val="Naslov2"/>
        <w:spacing w:after="240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lastRenderedPageBreak/>
        <w:t>Klasifikacijska struktura proračuna</w:t>
      </w:r>
    </w:p>
    <w:p w14:paraId="7C3B78FE" w14:textId="77777777" w:rsidR="00A6299C" w:rsidRPr="004F357B" w:rsidRDefault="00E810B3" w:rsidP="003C76C7">
      <w:pPr>
        <w:pStyle w:val="Tijeloteksta"/>
        <w:spacing w:line="276" w:lineRule="auto"/>
        <w:ind w:left="116" w:firstLine="707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Prihodi i rashodi proračuna iskazani su u općem dijelu proračuna prema ekonomskoj klasifikaciji.</w:t>
      </w:r>
    </w:p>
    <w:p w14:paraId="109D9BD1" w14:textId="77777777" w:rsidR="00A6299C" w:rsidRPr="004F357B" w:rsidRDefault="00981BE5" w:rsidP="003C76C7">
      <w:pPr>
        <w:pStyle w:val="Tijeloteksta"/>
        <w:spacing w:line="276" w:lineRule="auto"/>
        <w:ind w:left="116" w:firstLine="707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R</w:t>
      </w:r>
      <w:r w:rsidR="00E810B3" w:rsidRPr="004F357B">
        <w:rPr>
          <w:rFonts w:asciiTheme="minorHAnsi" w:hAnsiTheme="minorHAnsi" w:cstheme="minorHAnsi"/>
          <w:lang w:val="hr-HR"/>
        </w:rPr>
        <w:t>ashodi se u posebnom dijelu proračuna prikazuju prema: ekonomskoj; programskoj klasifikaciji, aktivnostim</w:t>
      </w:r>
      <w:r w:rsidRPr="004F357B">
        <w:rPr>
          <w:rFonts w:asciiTheme="minorHAnsi" w:hAnsiTheme="minorHAnsi" w:cstheme="minorHAnsi"/>
          <w:lang w:val="hr-HR"/>
        </w:rPr>
        <w:t xml:space="preserve">a i projektima, organizacijskoj, </w:t>
      </w:r>
      <w:r w:rsidR="00E810B3" w:rsidRPr="004F357B">
        <w:rPr>
          <w:rFonts w:asciiTheme="minorHAnsi" w:hAnsiTheme="minorHAnsi" w:cstheme="minorHAnsi"/>
          <w:lang w:val="hr-HR"/>
        </w:rPr>
        <w:t>te funkcijskoj klasifikaciji.</w:t>
      </w:r>
    </w:p>
    <w:p w14:paraId="096F5800" w14:textId="77777777" w:rsidR="00A6299C" w:rsidRPr="004F357B" w:rsidRDefault="003C76C7" w:rsidP="003C76C7">
      <w:pPr>
        <w:pStyle w:val="Tijeloteksta"/>
        <w:tabs>
          <w:tab w:val="left" w:pos="1654"/>
        </w:tabs>
        <w:spacing w:before="1"/>
        <w:ind w:left="116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noProof/>
          <w:lang w:val="hr-HR" w:eastAsia="hr-HR"/>
        </w:rPr>
        <w:drawing>
          <wp:inline distT="0" distB="0" distL="0" distR="0" wp14:anchorId="5707928E" wp14:editId="588E29ED">
            <wp:extent cx="294916" cy="5518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916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10B3" w:rsidRPr="004F357B">
        <w:rPr>
          <w:rFonts w:asciiTheme="minorHAnsi" w:hAnsiTheme="minorHAnsi" w:cstheme="minorHAnsi"/>
          <w:spacing w:val="-1"/>
          <w:lang w:val="hr-HR"/>
        </w:rPr>
        <w:t>UKRATKO</w:t>
      </w:r>
      <w:r w:rsidR="00E810B3" w:rsidRPr="004F357B">
        <w:rPr>
          <w:rFonts w:asciiTheme="minorHAnsi" w:hAnsiTheme="minorHAnsi" w:cstheme="minorHAnsi"/>
          <w:spacing w:val="-1"/>
          <w:lang w:val="hr-HR"/>
        </w:rPr>
        <w:tab/>
      </w:r>
    </w:p>
    <w:p w14:paraId="0F8FBEE3" w14:textId="77777777" w:rsidR="00A6299C" w:rsidRPr="004F357B" w:rsidRDefault="00E810B3" w:rsidP="003C76C7">
      <w:pPr>
        <w:pStyle w:val="Odlomakpopisa"/>
        <w:numPr>
          <w:ilvl w:val="0"/>
          <w:numId w:val="4"/>
        </w:numPr>
        <w:tabs>
          <w:tab w:val="left" w:pos="1542"/>
        </w:tabs>
        <w:spacing w:line="276" w:lineRule="auto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>proračun mora biti uravnotežen, a to znači da ukupna visina planiranih prihoda mora biti istovjetna ukupnoj visini planiranih</w:t>
      </w:r>
      <w:r w:rsidRPr="004F357B">
        <w:rPr>
          <w:rFonts w:asciiTheme="minorHAnsi" w:hAnsiTheme="minorHAnsi" w:cstheme="minorHAnsi"/>
          <w:spacing w:val="-3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rashoda</w:t>
      </w:r>
    </w:p>
    <w:p w14:paraId="189AB780" w14:textId="77777777" w:rsidR="00A6299C" w:rsidRPr="004F357B" w:rsidRDefault="00E810B3" w:rsidP="003C76C7">
      <w:pPr>
        <w:pStyle w:val="Odlomakpopisa"/>
        <w:numPr>
          <w:ilvl w:val="0"/>
          <w:numId w:val="4"/>
        </w:numPr>
        <w:tabs>
          <w:tab w:val="left" w:pos="1542"/>
        </w:tabs>
        <w:spacing w:before="2" w:line="276" w:lineRule="auto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>korištene klasifikacije moraju biti međusobno povezane da se svaki rashod može pratiti po više osnova, cilj je tih povezanih klasifikacija lakše sagledavanje namjene, vrste i učinaka proračunskih</w:t>
      </w:r>
      <w:r w:rsidRPr="004F357B">
        <w:rPr>
          <w:rFonts w:asciiTheme="minorHAnsi" w:hAnsiTheme="minorHAnsi" w:cstheme="minorHAnsi"/>
          <w:spacing w:val="-6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rashoda</w:t>
      </w:r>
    </w:p>
    <w:p w14:paraId="027E6359" w14:textId="398DB71B" w:rsidR="00A6299C" w:rsidRPr="004F357B" w:rsidRDefault="00E810B3" w:rsidP="003C76C7">
      <w:pPr>
        <w:pStyle w:val="Odlomakpopisa"/>
        <w:numPr>
          <w:ilvl w:val="0"/>
          <w:numId w:val="4"/>
        </w:numPr>
        <w:tabs>
          <w:tab w:val="left" w:pos="1542"/>
        </w:tabs>
        <w:spacing w:line="276" w:lineRule="auto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>proračun nije "statičan" akt već se, sukladno Zakonu, može mijenjati tijekom proračunske godine</w:t>
      </w:r>
      <w:r w:rsidR="001A314D">
        <w:rPr>
          <w:rFonts w:asciiTheme="minorHAnsi" w:hAnsiTheme="minorHAnsi" w:cstheme="minorHAnsi"/>
          <w:sz w:val="24"/>
          <w:lang w:val="hr-HR"/>
        </w:rPr>
        <w:t xml:space="preserve"> izmjenama i dopunama proračuna tj.</w:t>
      </w:r>
      <w:r w:rsidRPr="004F357B">
        <w:rPr>
          <w:rFonts w:asciiTheme="minorHAnsi" w:hAnsiTheme="minorHAnsi" w:cstheme="minorHAnsi"/>
          <w:sz w:val="24"/>
          <w:lang w:val="hr-HR"/>
        </w:rPr>
        <w:t xml:space="preserve"> "rebalans</w:t>
      </w:r>
      <w:r w:rsidR="00981BE5" w:rsidRPr="004F357B">
        <w:rPr>
          <w:rFonts w:asciiTheme="minorHAnsi" w:hAnsiTheme="minorHAnsi" w:cstheme="minorHAnsi"/>
          <w:sz w:val="24"/>
          <w:lang w:val="hr-HR"/>
        </w:rPr>
        <w:t>om</w:t>
      </w:r>
      <w:r w:rsidRPr="004F357B">
        <w:rPr>
          <w:rFonts w:asciiTheme="minorHAnsi" w:hAnsiTheme="minorHAnsi" w:cstheme="minorHAnsi"/>
          <w:sz w:val="24"/>
          <w:lang w:val="hr-HR"/>
        </w:rPr>
        <w:t>". Procedura izmjene proračuna istovjetna je proceduri njegova donošenj</w:t>
      </w:r>
      <w:r w:rsidR="00981BE5" w:rsidRPr="004F357B">
        <w:rPr>
          <w:rFonts w:asciiTheme="minorHAnsi" w:hAnsiTheme="minorHAnsi" w:cstheme="minorHAnsi"/>
          <w:sz w:val="24"/>
          <w:lang w:val="hr-HR"/>
        </w:rPr>
        <w:t>a, "rebalans" predlaže načelnik</w:t>
      </w:r>
      <w:r w:rsidRPr="004F357B">
        <w:rPr>
          <w:rFonts w:asciiTheme="minorHAnsi" w:hAnsiTheme="minorHAnsi" w:cstheme="minorHAnsi"/>
          <w:sz w:val="24"/>
          <w:lang w:val="hr-HR"/>
        </w:rPr>
        <w:t xml:space="preserve">, a donosi ga </w:t>
      </w:r>
      <w:r w:rsidR="00981BE5" w:rsidRPr="004F357B">
        <w:rPr>
          <w:rFonts w:asciiTheme="minorHAnsi" w:hAnsiTheme="minorHAnsi" w:cstheme="minorHAnsi"/>
          <w:sz w:val="24"/>
          <w:lang w:val="hr-HR"/>
        </w:rPr>
        <w:t>O</w:t>
      </w:r>
      <w:r w:rsidRPr="004F357B">
        <w:rPr>
          <w:rFonts w:asciiTheme="minorHAnsi" w:hAnsiTheme="minorHAnsi" w:cstheme="minorHAnsi"/>
          <w:sz w:val="24"/>
          <w:lang w:val="hr-HR"/>
        </w:rPr>
        <w:t>pćinsko</w:t>
      </w:r>
      <w:r w:rsidRPr="004F357B">
        <w:rPr>
          <w:rFonts w:asciiTheme="minorHAnsi" w:hAnsiTheme="minorHAnsi" w:cstheme="minorHAnsi"/>
          <w:spacing w:val="-1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vijeće.</w:t>
      </w:r>
    </w:p>
    <w:p w14:paraId="45B60980" w14:textId="77777777" w:rsidR="00A6299C" w:rsidRPr="004F357B" w:rsidRDefault="00E810B3" w:rsidP="003C76C7">
      <w:pPr>
        <w:pStyle w:val="Odlomakpopisa"/>
        <w:numPr>
          <w:ilvl w:val="0"/>
          <w:numId w:val="4"/>
        </w:numPr>
        <w:tabs>
          <w:tab w:val="left" w:pos="1542"/>
        </w:tabs>
        <w:spacing w:line="278" w:lineRule="auto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 xml:space="preserve">cjeloviti proračun Općine dostupan </w:t>
      </w:r>
      <w:r w:rsidR="00981BE5" w:rsidRPr="004F357B">
        <w:rPr>
          <w:rFonts w:asciiTheme="minorHAnsi" w:hAnsiTheme="minorHAnsi" w:cstheme="minorHAnsi"/>
          <w:sz w:val="24"/>
          <w:lang w:val="hr-HR"/>
        </w:rPr>
        <w:t>je na web stranici Općine Darda</w:t>
      </w:r>
      <w:r w:rsidRPr="004F357B">
        <w:rPr>
          <w:rFonts w:asciiTheme="minorHAnsi" w:hAnsiTheme="minorHAnsi" w:cstheme="minorHAnsi"/>
          <w:sz w:val="24"/>
          <w:lang w:val="hr-HR"/>
        </w:rPr>
        <w:t>.</w:t>
      </w:r>
      <w:r w:rsidRPr="004F357B">
        <w:rPr>
          <w:rFonts w:asciiTheme="minorHAnsi" w:hAnsiTheme="minorHAnsi" w:cstheme="minorHAnsi"/>
          <w:spacing w:val="-1"/>
          <w:sz w:val="24"/>
          <w:lang w:val="hr-HR"/>
        </w:rPr>
        <w:t xml:space="preserve"> </w:t>
      </w:r>
      <w:r w:rsidR="00981BE5" w:rsidRPr="004F357B">
        <w:rPr>
          <w:rFonts w:asciiTheme="minorHAnsi" w:hAnsiTheme="minorHAnsi" w:cstheme="minorHAnsi"/>
          <w:sz w:val="24"/>
          <w:lang w:val="hr-HR"/>
        </w:rPr>
        <w:t>(www.darda.hr</w:t>
      </w:r>
      <w:r w:rsidRPr="004F357B">
        <w:rPr>
          <w:rFonts w:asciiTheme="minorHAnsi" w:hAnsiTheme="minorHAnsi" w:cstheme="minorHAnsi"/>
          <w:sz w:val="24"/>
          <w:lang w:val="hr-HR"/>
        </w:rPr>
        <w:t>)</w:t>
      </w:r>
    </w:p>
    <w:p w14:paraId="739747DE" w14:textId="77777777" w:rsidR="00A6299C" w:rsidRPr="004F357B" w:rsidRDefault="00A6299C" w:rsidP="003C76C7">
      <w:pPr>
        <w:pStyle w:val="Tijeloteksta"/>
        <w:spacing w:before="7"/>
        <w:jc w:val="both"/>
        <w:rPr>
          <w:rFonts w:asciiTheme="minorHAnsi" w:hAnsiTheme="minorHAnsi" w:cstheme="minorHAnsi"/>
          <w:sz w:val="28"/>
          <w:lang w:val="hr-HR"/>
        </w:rPr>
      </w:pPr>
    </w:p>
    <w:p w14:paraId="0DAD14B9" w14:textId="77777777" w:rsidR="00A6299C" w:rsidRPr="004F357B" w:rsidRDefault="00E810B3" w:rsidP="003C76C7">
      <w:pPr>
        <w:pStyle w:val="Naslov2"/>
        <w:ind w:left="0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Od čega se proračun sastoji?!</w:t>
      </w:r>
    </w:p>
    <w:p w14:paraId="4400C776" w14:textId="77777777" w:rsidR="00A6299C" w:rsidRPr="004F357B" w:rsidRDefault="00E810B3" w:rsidP="003C76C7">
      <w:pPr>
        <w:pStyle w:val="Tijeloteksta"/>
        <w:spacing w:before="240" w:line="276" w:lineRule="auto"/>
        <w:ind w:left="1418" w:hanging="1162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i/>
          <w:lang w:val="hr-HR"/>
        </w:rPr>
        <w:t xml:space="preserve">Opći dio </w:t>
      </w:r>
      <w:r w:rsidRPr="004F357B">
        <w:rPr>
          <w:rFonts w:asciiTheme="minorHAnsi" w:hAnsiTheme="minorHAnsi" w:cstheme="minorHAnsi"/>
          <w:lang w:val="hr-HR"/>
        </w:rPr>
        <w:t>- račun prihoda i rashoda i račun financiranja koji obuhvaća prihode i primitke te rashode i izdatke po</w:t>
      </w:r>
      <w:r w:rsidRPr="004F357B">
        <w:rPr>
          <w:rFonts w:asciiTheme="minorHAnsi" w:hAnsiTheme="minorHAnsi" w:cstheme="minorHAnsi"/>
          <w:spacing w:val="-3"/>
          <w:lang w:val="hr-HR"/>
        </w:rPr>
        <w:t xml:space="preserve"> </w:t>
      </w:r>
      <w:r w:rsidRPr="004F357B">
        <w:rPr>
          <w:rFonts w:asciiTheme="minorHAnsi" w:hAnsiTheme="minorHAnsi" w:cstheme="minorHAnsi"/>
          <w:lang w:val="hr-HR"/>
        </w:rPr>
        <w:t>vrstama.</w:t>
      </w:r>
    </w:p>
    <w:p w14:paraId="6CF0D3EE" w14:textId="77777777" w:rsidR="00A6299C" w:rsidRPr="004F357B" w:rsidRDefault="00E810B3" w:rsidP="003C76C7">
      <w:pPr>
        <w:pStyle w:val="Tijeloteksta"/>
        <w:spacing w:line="276" w:lineRule="auto"/>
        <w:ind w:left="1418" w:hanging="1162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i/>
          <w:lang w:val="hr-HR"/>
        </w:rPr>
        <w:t xml:space="preserve">Posebni dio </w:t>
      </w:r>
      <w:r w:rsidRPr="004F357B">
        <w:rPr>
          <w:rFonts w:asciiTheme="minorHAnsi" w:hAnsiTheme="minorHAnsi" w:cstheme="minorHAnsi"/>
          <w:lang w:val="hr-HR"/>
        </w:rPr>
        <w:t>- sadrži rashode i izdatke raspoređene po programima odnosno njihovim sastavnim dijelovima, aktivnostima i projektima, a iskazani su prema ekonomskoj i funkcijskoj klasifikaciji te izvorima financiranja potrebnim za njihovo provođenje. Također sadrži financijske p</w:t>
      </w:r>
      <w:r w:rsidR="00491040" w:rsidRPr="004F357B">
        <w:rPr>
          <w:rFonts w:asciiTheme="minorHAnsi" w:hAnsiTheme="minorHAnsi" w:cstheme="minorHAnsi"/>
          <w:lang w:val="hr-HR"/>
        </w:rPr>
        <w:t>lanove proračunskih korisnika.</w:t>
      </w:r>
    </w:p>
    <w:p w14:paraId="4BDDD22D" w14:textId="77777777" w:rsidR="00A6299C" w:rsidRDefault="00A6299C" w:rsidP="003C76C7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</w:p>
    <w:p w14:paraId="54F899D3" w14:textId="77777777" w:rsidR="00805927" w:rsidRDefault="00805927" w:rsidP="00612731">
      <w:pPr>
        <w:spacing w:line="276" w:lineRule="auto"/>
        <w:ind w:left="1418" w:hanging="1162"/>
        <w:jc w:val="both"/>
        <w:rPr>
          <w:rFonts w:asciiTheme="minorHAnsi" w:hAnsiTheme="minorHAnsi" w:cstheme="minorHAnsi"/>
          <w:lang w:val="hr-HR"/>
        </w:rPr>
      </w:pPr>
      <w:r w:rsidRPr="00805927">
        <w:rPr>
          <w:rFonts w:asciiTheme="minorHAnsi" w:hAnsiTheme="minorHAnsi" w:cstheme="minorHAnsi"/>
          <w:i/>
          <w:sz w:val="24"/>
          <w:szCs w:val="24"/>
          <w:lang w:val="hr-HR"/>
        </w:rPr>
        <w:t xml:space="preserve">Obrazloženje proračuna Općine Darda </w:t>
      </w:r>
      <w:r>
        <w:rPr>
          <w:rFonts w:asciiTheme="minorHAnsi" w:hAnsiTheme="minorHAnsi" w:cstheme="minorHAnsi"/>
          <w:lang w:val="hr-HR"/>
        </w:rPr>
        <w:t xml:space="preserve">– sadrži ciljeve i prioritete razvoja Općine, </w:t>
      </w:r>
      <w:proofErr w:type="spellStart"/>
      <w:r>
        <w:rPr>
          <w:rFonts w:asciiTheme="minorHAnsi" w:hAnsiTheme="minorHAnsi" w:cstheme="minorHAnsi"/>
          <w:lang w:val="hr-HR"/>
        </w:rPr>
        <w:t>tj</w:t>
      </w:r>
      <w:proofErr w:type="spellEnd"/>
      <w:r>
        <w:rPr>
          <w:rFonts w:asciiTheme="minorHAnsi" w:hAnsiTheme="minorHAnsi" w:cstheme="minorHAnsi"/>
          <w:lang w:val="hr-HR"/>
        </w:rPr>
        <w:t xml:space="preserve"> . sadrži prikaz planiranih investicija i drugih kapitalnih ulaganja, a koji su povezni s programskom klasifikacijom Proračuna, a  sastoji se  od  obrazloženja općeg i posebnog dijela proračuna.</w:t>
      </w:r>
    </w:p>
    <w:p w14:paraId="6DFF3809" w14:textId="61C38A81" w:rsidR="00805927" w:rsidRPr="004F357B" w:rsidRDefault="00805927" w:rsidP="003C76C7">
      <w:pPr>
        <w:spacing w:line="276" w:lineRule="auto"/>
        <w:jc w:val="both"/>
        <w:rPr>
          <w:rFonts w:asciiTheme="minorHAnsi" w:hAnsiTheme="minorHAnsi" w:cstheme="minorHAnsi"/>
          <w:lang w:val="hr-HR"/>
        </w:rPr>
        <w:sectPr w:rsidR="00805927" w:rsidRPr="004F357B" w:rsidSect="00B86A43">
          <w:pgSz w:w="11910" w:h="16840"/>
          <w:pgMar w:top="1320" w:right="995" w:bottom="280" w:left="1300" w:header="720" w:footer="720" w:gutter="0"/>
          <w:cols w:space="720"/>
        </w:sectPr>
      </w:pPr>
    </w:p>
    <w:p w14:paraId="7315A4BB" w14:textId="77777777" w:rsidR="00491040" w:rsidRPr="004F357B" w:rsidRDefault="00E810B3" w:rsidP="003C76C7">
      <w:pPr>
        <w:pStyle w:val="Naslov2"/>
        <w:spacing w:after="240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lastRenderedPageBreak/>
        <w:t xml:space="preserve">Struktura prihoda i rashoda </w:t>
      </w:r>
    </w:p>
    <w:p w14:paraId="205D96B1" w14:textId="77777777" w:rsidR="00A6299C" w:rsidRPr="004F357B" w:rsidRDefault="00E810B3" w:rsidP="003C76C7">
      <w:pPr>
        <w:pStyle w:val="Naslov2"/>
        <w:spacing w:before="240" w:after="240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PRIHODI</w:t>
      </w:r>
    </w:p>
    <w:p w14:paraId="416AC869" w14:textId="77777777" w:rsidR="00A6299C" w:rsidRPr="004F357B" w:rsidRDefault="00E810B3" w:rsidP="003C76C7">
      <w:pPr>
        <w:pStyle w:val="Odlomakpopisa"/>
        <w:numPr>
          <w:ilvl w:val="0"/>
          <w:numId w:val="3"/>
        </w:numPr>
        <w:tabs>
          <w:tab w:val="left" w:pos="357"/>
        </w:tabs>
        <w:spacing w:line="271" w:lineRule="exact"/>
        <w:ind w:hanging="241"/>
        <w:rPr>
          <w:rFonts w:asciiTheme="minorHAnsi" w:hAnsiTheme="minorHAnsi" w:cstheme="minorHAnsi"/>
          <w:b/>
          <w:sz w:val="24"/>
          <w:lang w:val="hr-HR"/>
        </w:rPr>
      </w:pPr>
      <w:r w:rsidRPr="004F357B">
        <w:rPr>
          <w:rFonts w:asciiTheme="minorHAnsi" w:hAnsiTheme="minorHAnsi" w:cstheme="minorHAnsi"/>
          <w:b/>
          <w:sz w:val="24"/>
          <w:lang w:val="hr-HR"/>
        </w:rPr>
        <w:t>Prihodi</w:t>
      </w:r>
      <w:r w:rsidRPr="004F357B">
        <w:rPr>
          <w:rFonts w:asciiTheme="minorHAnsi" w:hAnsiTheme="minorHAnsi" w:cstheme="minorHAnsi"/>
          <w:b/>
          <w:spacing w:val="-1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b/>
          <w:sz w:val="24"/>
          <w:lang w:val="hr-HR"/>
        </w:rPr>
        <w:t>poslovanja</w:t>
      </w:r>
    </w:p>
    <w:p w14:paraId="38974241" w14:textId="77777777" w:rsidR="00A6299C" w:rsidRPr="004F357B" w:rsidRDefault="00E810B3" w:rsidP="003C76C7">
      <w:pPr>
        <w:pStyle w:val="Odlomakpopisa"/>
        <w:numPr>
          <w:ilvl w:val="1"/>
          <w:numId w:val="3"/>
        </w:numPr>
        <w:tabs>
          <w:tab w:val="left" w:pos="1085"/>
        </w:tabs>
        <w:spacing w:before="44"/>
        <w:ind w:hanging="261"/>
        <w:jc w:val="both"/>
        <w:rPr>
          <w:rFonts w:asciiTheme="minorHAnsi" w:hAnsiTheme="minorHAnsi" w:cstheme="minorHAnsi"/>
          <w:sz w:val="24"/>
          <w:u w:val="single"/>
          <w:lang w:val="hr-HR"/>
        </w:rPr>
      </w:pPr>
      <w:r w:rsidRPr="004F357B">
        <w:rPr>
          <w:rFonts w:asciiTheme="minorHAnsi" w:hAnsiTheme="minorHAnsi" w:cstheme="minorHAnsi"/>
          <w:sz w:val="24"/>
          <w:u w:val="single"/>
          <w:lang w:val="hr-HR"/>
        </w:rPr>
        <w:t>prihodi od</w:t>
      </w:r>
      <w:r w:rsidRPr="004F357B">
        <w:rPr>
          <w:rFonts w:asciiTheme="minorHAnsi" w:hAnsiTheme="minorHAnsi" w:cstheme="minorHAnsi"/>
          <w:spacing w:val="-3"/>
          <w:sz w:val="24"/>
          <w:u w:val="single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u w:val="single"/>
          <w:lang w:val="hr-HR"/>
        </w:rPr>
        <w:t>poreza</w:t>
      </w:r>
    </w:p>
    <w:p w14:paraId="1DD596D9" w14:textId="77777777" w:rsidR="00A6299C" w:rsidRPr="004F357B" w:rsidRDefault="00E810B3" w:rsidP="003C76C7">
      <w:pPr>
        <w:pStyle w:val="Odlomakpopisa"/>
        <w:numPr>
          <w:ilvl w:val="2"/>
          <w:numId w:val="3"/>
        </w:numPr>
        <w:spacing w:before="40"/>
        <w:ind w:left="1134" w:hanging="361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>porez i prirez na</w:t>
      </w:r>
      <w:r w:rsidRPr="004F357B">
        <w:rPr>
          <w:rFonts w:asciiTheme="minorHAnsi" w:hAnsiTheme="minorHAnsi" w:cstheme="minorHAnsi"/>
          <w:spacing w:val="-4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dohodak</w:t>
      </w:r>
    </w:p>
    <w:p w14:paraId="2608D781" w14:textId="77777777" w:rsidR="00A6299C" w:rsidRPr="004F357B" w:rsidRDefault="00E810B3" w:rsidP="003C76C7">
      <w:pPr>
        <w:pStyle w:val="Odlomakpopisa"/>
        <w:numPr>
          <w:ilvl w:val="2"/>
          <w:numId w:val="3"/>
        </w:numPr>
        <w:tabs>
          <w:tab w:val="left" w:pos="2248"/>
        </w:tabs>
        <w:spacing w:before="41"/>
        <w:ind w:left="1134" w:hanging="361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>porezi na</w:t>
      </w:r>
      <w:r w:rsidRPr="004F357B">
        <w:rPr>
          <w:rFonts w:asciiTheme="minorHAnsi" w:hAnsiTheme="minorHAnsi" w:cstheme="minorHAnsi"/>
          <w:spacing w:val="-1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imovinu</w:t>
      </w:r>
    </w:p>
    <w:p w14:paraId="3C402D15" w14:textId="77777777" w:rsidR="00A6299C" w:rsidRPr="004F357B" w:rsidRDefault="00E810B3" w:rsidP="003C76C7">
      <w:pPr>
        <w:pStyle w:val="Odlomakpopisa"/>
        <w:numPr>
          <w:ilvl w:val="2"/>
          <w:numId w:val="3"/>
        </w:numPr>
        <w:tabs>
          <w:tab w:val="left" w:pos="2248"/>
        </w:tabs>
        <w:spacing w:before="41"/>
        <w:ind w:left="1134" w:hanging="361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>porezi na robu i usluge</w:t>
      </w:r>
    </w:p>
    <w:p w14:paraId="050E4178" w14:textId="77777777" w:rsidR="00A6299C" w:rsidRPr="001A314D" w:rsidRDefault="00E810B3" w:rsidP="003C76C7">
      <w:pPr>
        <w:pStyle w:val="Odlomakpopisa"/>
        <w:numPr>
          <w:ilvl w:val="1"/>
          <w:numId w:val="3"/>
        </w:numPr>
        <w:tabs>
          <w:tab w:val="left" w:pos="1085"/>
        </w:tabs>
        <w:spacing w:before="44"/>
        <w:ind w:hanging="261"/>
        <w:jc w:val="both"/>
        <w:rPr>
          <w:rFonts w:asciiTheme="minorHAnsi" w:hAnsiTheme="minorHAnsi" w:cstheme="minorHAnsi"/>
          <w:sz w:val="24"/>
          <w:u w:val="single"/>
          <w:lang w:val="hr-HR"/>
        </w:rPr>
      </w:pPr>
      <w:r w:rsidRPr="001A314D">
        <w:rPr>
          <w:rFonts w:asciiTheme="minorHAnsi" w:hAnsiTheme="minorHAnsi" w:cstheme="minorHAnsi"/>
          <w:sz w:val="24"/>
          <w:u w:val="single"/>
          <w:lang w:val="hr-HR"/>
        </w:rPr>
        <w:t>Pomoći</w:t>
      </w:r>
    </w:p>
    <w:p w14:paraId="0EF24CF9" w14:textId="77777777" w:rsidR="00A6299C" w:rsidRPr="004F357B" w:rsidRDefault="00E810B3" w:rsidP="003C76C7">
      <w:pPr>
        <w:pStyle w:val="Odlomakpopisa"/>
        <w:numPr>
          <w:ilvl w:val="2"/>
          <w:numId w:val="3"/>
        </w:numPr>
        <w:tabs>
          <w:tab w:val="left" w:pos="2248"/>
        </w:tabs>
        <w:spacing w:before="41"/>
        <w:ind w:left="1134" w:hanging="361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 xml:space="preserve">pomoći </w:t>
      </w:r>
      <w:r w:rsidR="00491040" w:rsidRPr="004F357B">
        <w:rPr>
          <w:rFonts w:asciiTheme="minorHAnsi" w:hAnsiTheme="minorHAnsi" w:cstheme="minorHAnsi"/>
          <w:sz w:val="24"/>
          <w:lang w:val="hr-HR"/>
        </w:rPr>
        <w:t>proračunu iz drugih proračuna</w:t>
      </w:r>
    </w:p>
    <w:p w14:paraId="007F9EAA" w14:textId="77777777" w:rsidR="00491040" w:rsidRPr="004F357B" w:rsidRDefault="00491040" w:rsidP="003C76C7">
      <w:pPr>
        <w:pStyle w:val="Odlomakpopisa"/>
        <w:numPr>
          <w:ilvl w:val="3"/>
          <w:numId w:val="3"/>
        </w:numPr>
        <w:spacing w:before="41"/>
        <w:ind w:left="1701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>pomoći iz državnog proračuna</w:t>
      </w:r>
    </w:p>
    <w:p w14:paraId="3AF687B2" w14:textId="77777777" w:rsidR="00491040" w:rsidRDefault="00491040" w:rsidP="003C76C7">
      <w:pPr>
        <w:pStyle w:val="Odlomakpopisa"/>
        <w:numPr>
          <w:ilvl w:val="3"/>
          <w:numId w:val="3"/>
        </w:numPr>
        <w:spacing w:before="41"/>
        <w:ind w:left="1701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>pomoći iz županijskog proračuna</w:t>
      </w:r>
    </w:p>
    <w:p w14:paraId="57A60A82" w14:textId="56AD8082" w:rsidR="00805927" w:rsidRPr="004F357B" w:rsidRDefault="00805927" w:rsidP="003C76C7">
      <w:pPr>
        <w:pStyle w:val="Odlomakpopisa"/>
        <w:numPr>
          <w:ilvl w:val="3"/>
          <w:numId w:val="3"/>
        </w:numPr>
        <w:spacing w:before="41"/>
        <w:ind w:left="1701"/>
        <w:rPr>
          <w:rFonts w:asciiTheme="minorHAnsi" w:hAnsiTheme="minorHAnsi" w:cstheme="minorHAnsi"/>
          <w:sz w:val="24"/>
          <w:lang w:val="hr-HR"/>
        </w:rPr>
      </w:pPr>
      <w:r>
        <w:rPr>
          <w:rFonts w:asciiTheme="minorHAnsi" w:hAnsiTheme="minorHAnsi" w:cstheme="minorHAnsi"/>
          <w:sz w:val="24"/>
          <w:lang w:val="hr-HR"/>
        </w:rPr>
        <w:t>pomoći iz gradskih proračuna</w:t>
      </w:r>
    </w:p>
    <w:p w14:paraId="1EC08A63" w14:textId="77777777" w:rsidR="00A6299C" w:rsidRPr="004F357B" w:rsidRDefault="00491040" w:rsidP="003C76C7">
      <w:pPr>
        <w:pStyle w:val="Odlomakpopisa"/>
        <w:numPr>
          <w:ilvl w:val="2"/>
          <w:numId w:val="3"/>
        </w:numPr>
        <w:tabs>
          <w:tab w:val="left" w:pos="2248"/>
          <w:tab w:val="left" w:pos="3168"/>
          <w:tab w:val="left" w:pos="3542"/>
          <w:tab w:val="left" w:pos="4768"/>
          <w:tab w:val="left" w:pos="5848"/>
          <w:tab w:val="left" w:pos="6117"/>
          <w:tab w:val="left" w:pos="6942"/>
          <w:tab w:val="left" w:pos="7863"/>
          <w:tab w:val="left" w:pos="8237"/>
        </w:tabs>
        <w:spacing w:before="41" w:line="278" w:lineRule="auto"/>
        <w:ind w:left="1134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>pomoći proračunu od izvanproračunskih korisnika</w:t>
      </w:r>
    </w:p>
    <w:p w14:paraId="5B89CB49" w14:textId="77777777" w:rsidR="00A6299C" w:rsidRDefault="00E810B3" w:rsidP="003C76C7">
      <w:pPr>
        <w:pStyle w:val="Odlomakpopisa"/>
        <w:numPr>
          <w:ilvl w:val="3"/>
          <w:numId w:val="3"/>
        </w:numPr>
        <w:spacing w:line="272" w:lineRule="exact"/>
        <w:ind w:left="1701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>pomoći od ostalih subjekata unutar općeg proračuna (npr. HZZ,</w:t>
      </w:r>
      <w:r w:rsidRPr="004F357B">
        <w:rPr>
          <w:rFonts w:asciiTheme="minorHAnsi" w:hAnsiTheme="minorHAnsi" w:cstheme="minorHAnsi"/>
          <w:spacing w:val="-6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HZZO)</w:t>
      </w:r>
    </w:p>
    <w:p w14:paraId="66E0ED76" w14:textId="68C21FF6" w:rsidR="00805927" w:rsidRDefault="00805927" w:rsidP="003C76C7">
      <w:pPr>
        <w:pStyle w:val="Odlomakpopisa"/>
        <w:numPr>
          <w:ilvl w:val="3"/>
          <w:numId w:val="3"/>
        </w:numPr>
        <w:spacing w:line="272" w:lineRule="exact"/>
        <w:ind w:left="1701"/>
        <w:rPr>
          <w:rFonts w:asciiTheme="minorHAnsi" w:hAnsiTheme="minorHAnsi" w:cstheme="minorHAnsi"/>
          <w:sz w:val="24"/>
          <w:lang w:val="hr-HR"/>
        </w:rPr>
      </w:pPr>
      <w:r>
        <w:rPr>
          <w:rFonts w:asciiTheme="minorHAnsi" w:hAnsiTheme="minorHAnsi" w:cstheme="minorHAnsi"/>
          <w:sz w:val="24"/>
          <w:lang w:val="hr-HR"/>
        </w:rPr>
        <w:t>pomoći od ostalih izvanproračunskih korisnika državnog proračuna</w:t>
      </w:r>
    </w:p>
    <w:p w14:paraId="06D70EA9" w14:textId="666F6F70" w:rsidR="00612731" w:rsidRPr="00612731" w:rsidRDefault="00612731" w:rsidP="00612731">
      <w:pPr>
        <w:pStyle w:val="Odlomakpopisa"/>
        <w:numPr>
          <w:ilvl w:val="2"/>
          <w:numId w:val="3"/>
        </w:numPr>
        <w:tabs>
          <w:tab w:val="left" w:pos="2248"/>
          <w:tab w:val="left" w:pos="3168"/>
          <w:tab w:val="left" w:pos="3542"/>
          <w:tab w:val="left" w:pos="4768"/>
          <w:tab w:val="left" w:pos="5848"/>
          <w:tab w:val="left" w:pos="6117"/>
          <w:tab w:val="left" w:pos="6942"/>
          <w:tab w:val="left" w:pos="7863"/>
          <w:tab w:val="left" w:pos="8237"/>
        </w:tabs>
        <w:spacing w:before="41" w:line="278" w:lineRule="auto"/>
        <w:ind w:left="1134"/>
        <w:rPr>
          <w:rFonts w:asciiTheme="minorHAnsi" w:hAnsiTheme="minorHAnsi" w:cstheme="minorHAnsi"/>
          <w:sz w:val="24"/>
          <w:lang w:val="hr-HR"/>
        </w:rPr>
      </w:pPr>
      <w:r>
        <w:rPr>
          <w:rFonts w:asciiTheme="minorHAnsi" w:hAnsiTheme="minorHAnsi" w:cstheme="minorHAnsi"/>
          <w:sz w:val="24"/>
          <w:lang w:val="hr-HR"/>
        </w:rPr>
        <w:t>pomoći fiskalnog izravnavanja</w:t>
      </w:r>
    </w:p>
    <w:p w14:paraId="504888C2" w14:textId="77777777" w:rsidR="00A6299C" w:rsidRPr="004F357B" w:rsidRDefault="00E810B3" w:rsidP="003C76C7">
      <w:pPr>
        <w:pStyle w:val="Odlomakpopisa"/>
        <w:numPr>
          <w:ilvl w:val="2"/>
          <w:numId w:val="3"/>
        </w:numPr>
        <w:tabs>
          <w:tab w:val="left" w:pos="2248"/>
        </w:tabs>
        <w:spacing w:before="41"/>
        <w:ind w:left="1134" w:hanging="361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>pomoći iz državnog proračuna temeljem prijenosa iz EU</w:t>
      </w:r>
      <w:r w:rsidRPr="004F357B">
        <w:rPr>
          <w:rFonts w:asciiTheme="minorHAnsi" w:hAnsiTheme="minorHAnsi" w:cstheme="minorHAnsi"/>
          <w:spacing w:val="-3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sredstava</w:t>
      </w:r>
    </w:p>
    <w:p w14:paraId="09B36122" w14:textId="77777777" w:rsidR="00A6299C" w:rsidRPr="001A314D" w:rsidRDefault="00E810B3" w:rsidP="003C76C7">
      <w:pPr>
        <w:pStyle w:val="Odlomakpopisa"/>
        <w:numPr>
          <w:ilvl w:val="1"/>
          <w:numId w:val="3"/>
        </w:numPr>
        <w:tabs>
          <w:tab w:val="left" w:pos="1085"/>
        </w:tabs>
        <w:spacing w:before="44"/>
        <w:ind w:hanging="261"/>
        <w:jc w:val="both"/>
        <w:rPr>
          <w:rFonts w:asciiTheme="minorHAnsi" w:hAnsiTheme="minorHAnsi" w:cstheme="minorHAnsi"/>
          <w:sz w:val="24"/>
          <w:u w:val="single"/>
          <w:lang w:val="hr-HR"/>
        </w:rPr>
      </w:pPr>
      <w:r w:rsidRPr="001A314D">
        <w:rPr>
          <w:rFonts w:asciiTheme="minorHAnsi" w:hAnsiTheme="minorHAnsi" w:cstheme="minorHAnsi"/>
          <w:sz w:val="24"/>
          <w:u w:val="single"/>
          <w:lang w:val="hr-HR"/>
        </w:rPr>
        <w:t>Prihodi od imovine</w:t>
      </w:r>
    </w:p>
    <w:p w14:paraId="41A202FC" w14:textId="77777777" w:rsidR="00A6299C" w:rsidRPr="004F357B" w:rsidRDefault="00E810B3" w:rsidP="003C76C7">
      <w:pPr>
        <w:pStyle w:val="Odlomakpopisa"/>
        <w:numPr>
          <w:ilvl w:val="2"/>
          <w:numId w:val="3"/>
        </w:numPr>
        <w:tabs>
          <w:tab w:val="left" w:pos="2248"/>
        </w:tabs>
        <w:spacing w:before="41"/>
        <w:ind w:left="1134" w:hanging="361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>prihodi od financijske imovine</w:t>
      </w:r>
      <w:r w:rsidRPr="004F357B">
        <w:rPr>
          <w:rFonts w:asciiTheme="minorHAnsi" w:hAnsiTheme="minorHAnsi" w:cstheme="minorHAnsi"/>
          <w:spacing w:val="-3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(kamate)</w:t>
      </w:r>
    </w:p>
    <w:p w14:paraId="7F5948C5" w14:textId="77777777" w:rsidR="00A6299C" w:rsidRPr="004F357B" w:rsidRDefault="00E810B3" w:rsidP="003C76C7">
      <w:pPr>
        <w:pStyle w:val="Odlomakpopisa"/>
        <w:numPr>
          <w:ilvl w:val="2"/>
          <w:numId w:val="3"/>
        </w:numPr>
        <w:tabs>
          <w:tab w:val="left" w:pos="2248"/>
        </w:tabs>
        <w:spacing w:before="43" w:line="276" w:lineRule="auto"/>
        <w:ind w:left="1134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>prihodi</w:t>
      </w:r>
      <w:r w:rsidR="00491040" w:rsidRPr="004F357B">
        <w:rPr>
          <w:rFonts w:asciiTheme="minorHAnsi" w:hAnsiTheme="minorHAnsi" w:cstheme="minorHAnsi"/>
          <w:sz w:val="24"/>
          <w:lang w:val="hr-HR"/>
        </w:rPr>
        <w:t xml:space="preserve"> od nefinancijske imovine (</w:t>
      </w:r>
      <w:r w:rsidRPr="004F357B">
        <w:rPr>
          <w:rFonts w:asciiTheme="minorHAnsi" w:hAnsiTheme="minorHAnsi" w:cstheme="minorHAnsi"/>
          <w:sz w:val="24"/>
          <w:lang w:val="hr-HR"/>
        </w:rPr>
        <w:t>naknade za koncesije,</w:t>
      </w:r>
      <w:r w:rsidR="00491040" w:rsidRPr="004F357B">
        <w:rPr>
          <w:rFonts w:asciiTheme="minorHAnsi" w:hAnsiTheme="minorHAnsi" w:cstheme="minorHAnsi"/>
          <w:sz w:val="24"/>
          <w:lang w:val="hr-HR"/>
        </w:rPr>
        <w:t xml:space="preserve"> zakup i iznajmljivanje imovine,</w:t>
      </w:r>
      <w:r w:rsidRPr="004F357B">
        <w:rPr>
          <w:rFonts w:asciiTheme="minorHAnsi" w:hAnsiTheme="minorHAnsi" w:cstheme="minorHAnsi"/>
          <w:sz w:val="24"/>
          <w:lang w:val="hr-HR"/>
        </w:rPr>
        <w:t xml:space="preserve"> spomenička</w:t>
      </w:r>
      <w:r w:rsidRPr="004F357B">
        <w:rPr>
          <w:rFonts w:asciiTheme="minorHAnsi" w:hAnsiTheme="minorHAnsi" w:cstheme="minorHAnsi"/>
          <w:spacing w:val="-2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renta)</w:t>
      </w:r>
    </w:p>
    <w:p w14:paraId="1F49BBDC" w14:textId="77777777" w:rsidR="00A6299C" w:rsidRPr="001A314D" w:rsidRDefault="00E810B3" w:rsidP="003C76C7">
      <w:pPr>
        <w:pStyle w:val="Odlomakpopisa"/>
        <w:numPr>
          <w:ilvl w:val="1"/>
          <w:numId w:val="3"/>
        </w:numPr>
        <w:tabs>
          <w:tab w:val="left" w:pos="1085"/>
        </w:tabs>
        <w:spacing w:before="44"/>
        <w:ind w:hanging="261"/>
        <w:jc w:val="both"/>
        <w:rPr>
          <w:rFonts w:asciiTheme="minorHAnsi" w:hAnsiTheme="minorHAnsi" w:cstheme="minorHAnsi"/>
          <w:sz w:val="24"/>
          <w:u w:val="single"/>
          <w:lang w:val="hr-HR"/>
        </w:rPr>
      </w:pPr>
      <w:r w:rsidRPr="001A314D">
        <w:rPr>
          <w:rFonts w:asciiTheme="minorHAnsi" w:hAnsiTheme="minorHAnsi" w:cstheme="minorHAnsi"/>
          <w:sz w:val="24"/>
          <w:u w:val="single"/>
          <w:lang w:val="hr-HR"/>
        </w:rPr>
        <w:t>Prihodi od upravnih i administrativnih pristojbi i naknada</w:t>
      </w:r>
    </w:p>
    <w:p w14:paraId="6AB897FF" w14:textId="77777777" w:rsidR="00A6299C" w:rsidRPr="004F357B" w:rsidRDefault="00E810B3" w:rsidP="003C76C7">
      <w:pPr>
        <w:pStyle w:val="Odlomakpopisa"/>
        <w:numPr>
          <w:ilvl w:val="2"/>
          <w:numId w:val="3"/>
        </w:numPr>
        <w:tabs>
          <w:tab w:val="left" w:pos="2248"/>
        </w:tabs>
        <w:spacing w:before="41" w:line="278" w:lineRule="auto"/>
        <w:ind w:left="1134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 xml:space="preserve">upravne i administrativne pristojbe </w:t>
      </w:r>
      <w:r w:rsidR="00491040" w:rsidRPr="004F357B">
        <w:rPr>
          <w:rFonts w:asciiTheme="minorHAnsi" w:hAnsiTheme="minorHAnsi" w:cstheme="minorHAnsi"/>
          <w:sz w:val="24"/>
          <w:lang w:val="hr-HR"/>
        </w:rPr>
        <w:t>–</w:t>
      </w:r>
      <w:r w:rsidRPr="004F357B">
        <w:rPr>
          <w:rFonts w:asciiTheme="minorHAnsi" w:hAnsiTheme="minorHAnsi" w:cstheme="minorHAnsi"/>
          <w:sz w:val="24"/>
          <w:lang w:val="hr-HR"/>
        </w:rPr>
        <w:t xml:space="preserve"> </w:t>
      </w:r>
      <w:r w:rsidR="00491040" w:rsidRPr="004F357B">
        <w:rPr>
          <w:rFonts w:asciiTheme="minorHAnsi" w:hAnsiTheme="minorHAnsi" w:cstheme="minorHAnsi"/>
          <w:sz w:val="24"/>
          <w:lang w:val="hr-HR"/>
        </w:rPr>
        <w:t>sudske, javnobilježničke i boravišne pristojbe</w:t>
      </w:r>
      <w:r w:rsidRPr="004F357B">
        <w:rPr>
          <w:rFonts w:asciiTheme="minorHAnsi" w:hAnsiTheme="minorHAnsi" w:cstheme="minorHAnsi"/>
          <w:sz w:val="24"/>
          <w:lang w:val="hr-HR"/>
        </w:rPr>
        <w:t>, naknada za prenamjenu poljoprivrednog</w:t>
      </w:r>
      <w:r w:rsidRPr="004F357B">
        <w:rPr>
          <w:rFonts w:asciiTheme="minorHAnsi" w:hAnsiTheme="minorHAnsi" w:cstheme="minorHAnsi"/>
          <w:spacing w:val="-1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zemljišta</w:t>
      </w:r>
    </w:p>
    <w:p w14:paraId="46AC10DD" w14:textId="77777777" w:rsidR="00A6299C" w:rsidRPr="004F357B" w:rsidRDefault="00E810B3" w:rsidP="003C76C7">
      <w:pPr>
        <w:pStyle w:val="Odlomakpopisa"/>
        <w:numPr>
          <w:ilvl w:val="2"/>
          <w:numId w:val="3"/>
        </w:numPr>
        <w:tabs>
          <w:tab w:val="left" w:pos="2248"/>
        </w:tabs>
        <w:spacing w:line="276" w:lineRule="auto"/>
        <w:ind w:left="1134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 xml:space="preserve">prihodi po posebnim propisima - vodni doprinos, doprinosi za šume, </w:t>
      </w:r>
    </w:p>
    <w:p w14:paraId="520FD875" w14:textId="77777777" w:rsidR="00A6299C" w:rsidRPr="004F357B" w:rsidRDefault="00E810B3" w:rsidP="003C76C7">
      <w:pPr>
        <w:pStyle w:val="Odlomakpopisa"/>
        <w:numPr>
          <w:ilvl w:val="2"/>
          <w:numId w:val="3"/>
        </w:numPr>
        <w:tabs>
          <w:tab w:val="left" w:pos="2248"/>
        </w:tabs>
        <w:spacing w:line="275" w:lineRule="exact"/>
        <w:ind w:left="1134" w:hanging="361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>komunalni doprinosi i komunalna</w:t>
      </w:r>
      <w:r w:rsidRPr="004F357B">
        <w:rPr>
          <w:rFonts w:asciiTheme="minorHAnsi" w:hAnsiTheme="minorHAnsi" w:cstheme="minorHAnsi"/>
          <w:spacing w:val="-2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naknada</w:t>
      </w:r>
    </w:p>
    <w:p w14:paraId="44EFE91B" w14:textId="77777777" w:rsidR="00A6299C" w:rsidRPr="001A314D" w:rsidRDefault="00E810B3" w:rsidP="003C76C7">
      <w:pPr>
        <w:pStyle w:val="Odlomakpopisa"/>
        <w:numPr>
          <w:ilvl w:val="1"/>
          <w:numId w:val="3"/>
        </w:numPr>
        <w:tabs>
          <w:tab w:val="left" w:pos="1085"/>
        </w:tabs>
        <w:spacing w:before="44"/>
        <w:ind w:hanging="261"/>
        <w:jc w:val="both"/>
        <w:rPr>
          <w:rFonts w:asciiTheme="minorHAnsi" w:hAnsiTheme="minorHAnsi" w:cstheme="minorHAnsi"/>
          <w:sz w:val="24"/>
          <w:u w:val="single"/>
          <w:lang w:val="hr-HR"/>
        </w:rPr>
      </w:pPr>
      <w:r w:rsidRPr="001A314D">
        <w:rPr>
          <w:rFonts w:asciiTheme="minorHAnsi" w:hAnsiTheme="minorHAnsi" w:cstheme="minorHAnsi"/>
          <w:sz w:val="24"/>
          <w:u w:val="single"/>
          <w:lang w:val="hr-HR"/>
        </w:rPr>
        <w:t>Prihodi od prodaje proizvoda i robe te pruženih usluga i prihodi od donacija</w:t>
      </w:r>
    </w:p>
    <w:p w14:paraId="42CE7A2A" w14:textId="77777777" w:rsidR="00A6299C" w:rsidRPr="004F357B" w:rsidRDefault="00305E7A" w:rsidP="003C76C7">
      <w:pPr>
        <w:pStyle w:val="Odlomakpopisa"/>
        <w:numPr>
          <w:ilvl w:val="2"/>
          <w:numId w:val="3"/>
        </w:numPr>
        <w:tabs>
          <w:tab w:val="left" w:pos="2248"/>
        </w:tabs>
        <w:spacing w:before="41" w:line="276" w:lineRule="auto"/>
        <w:ind w:left="1134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>Prihod od prodaje roba i usluga ( kante, grobnice, grobna naknada, naknada HV)</w:t>
      </w:r>
    </w:p>
    <w:p w14:paraId="0631706F" w14:textId="77777777" w:rsidR="00A6299C" w:rsidRPr="001A314D" w:rsidRDefault="00E810B3" w:rsidP="003C76C7">
      <w:pPr>
        <w:pStyle w:val="Odlomakpopisa"/>
        <w:numPr>
          <w:ilvl w:val="1"/>
          <w:numId w:val="3"/>
        </w:numPr>
        <w:tabs>
          <w:tab w:val="left" w:pos="1085"/>
        </w:tabs>
        <w:spacing w:before="44"/>
        <w:ind w:hanging="261"/>
        <w:jc w:val="both"/>
        <w:rPr>
          <w:rFonts w:asciiTheme="minorHAnsi" w:hAnsiTheme="minorHAnsi" w:cstheme="minorHAnsi"/>
          <w:sz w:val="24"/>
          <w:u w:val="single"/>
          <w:lang w:val="hr-HR"/>
        </w:rPr>
      </w:pPr>
      <w:r w:rsidRPr="001A314D">
        <w:rPr>
          <w:rFonts w:asciiTheme="minorHAnsi" w:hAnsiTheme="minorHAnsi" w:cstheme="minorHAnsi"/>
          <w:sz w:val="24"/>
          <w:u w:val="single"/>
          <w:lang w:val="hr-HR"/>
        </w:rPr>
        <w:t>Kazne, upravne mjere i ostali prihodi</w:t>
      </w:r>
    </w:p>
    <w:p w14:paraId="31B2F744" w14:textId="77777777" w:rsidR="00A6299C" w:rsidRPr="004F357B" w:rsidRDefault="00E810B3" w:rsidP="003C76C7">
      <w:pPr>
        <w:pStyle w:val="Odlomakpopisa"/>
        <w:numPr>
          <w:ilvl w:val="2"/>
          <w:numId w:val="3"/>
        </w:numPr>
        <w:spacing w:before="43"/>
        <w:ind w:left="1134" w:hanging="361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>prihodi koji se ostvare naplatom troškova prisilne naplate i</w:t>
      </w:r>
      <w:r w:rsidRPr="004F357B">
        <w:rPr>
          <w:rFonts w:asciiTheme="minorHAnsi" w:hAnsiTheme="minorHAnsi" w:cstheme="minorHAnsi"/>
          <w:spacing w:val="-8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ostalo</w:t>
      </w:r>
    </w:p>
    <w:p w14:paraId="39C4B43C" w14:textId="77777777" w:rsidR="00A6299C" w:rsidRPr="004F357B" w:rsidRDefault="00A6299C" w:rsidP="003C76C7">
      <w:pPr>
        <w:pStyle w:val="Tijeloteksta"/>
        <w:spacing w:before="1"/>
        <w:jc w:val="both"/>
        <w:rPr>
          <w:rFonts w:asciiTheme="minorHAnsi" w:hAnsiTheme="minorHAnsi" w:cstheme="minorHAnsi"/>
          <w:sz w:val="31"/>
          <w:lang w:val="hr-HR"/>
        </w:rPr>
      </w:pPr>
    </w:p>
    <w:p w14:paraId="4A43350B" w14:textId="77777777" w:rsidR="00A6299C" w:rsidRPr="004F357B" w:rsidRDefault="00E810B3" w:rsidP="003C76C7">
      <w:pPr>
        <w:pStyle w:val="Naslov2"/>
        <w:numPr>
          <w:ilvl w:val="0"/>
          <w:numId w:val="3"/>
        </w:numPr>
        <w:tabs>
          <w:tab w:val="left" w:pos="357"/>
        </w:tabs>
        <w:spacing w:before="1"/>
        <w:ind w:hanging="241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Prihodi od prodaje nefinancijske</w:t>
      </w:r>
      <w:r w:rsidRPr="004F357B">
        <w:rPr>
          <w:rFonts w:asciiTheme="minorHAnsi" w:hAnsiTheme="minorHAnsi" w:cstheme="minorHAnsi"/>
          <w:spacing w:val="-3"/>
          <w:lang w:val="hr-HR"/>
        </w:rPr>
        <w:t xml:space="preserve"> </w:t>
      </w:r>
      <w:r w:rsidRPr="004F357B">
        <w:rPr>
          <w:rFonts w:asciiTheme="minorHAnsi" w:hAnsiTheme="minorHAnsi" w:cstheme="minorHAnsi"/>
          <w:lang w:val="hr-HR"/>
        </w:rPr>
        <w:t>imovine</w:t>
      </w:r>
    </w:p>
    <w:p w14:paraId="0F56B945" w14:textId="77777777" w:rsidR="00A6299C" w:rsidRPr="001A314D" w:rsidRDefault="00E810B3" w:rsidP="001A314D">
      <w:pPr>
        <w:pStyle w:val="Odlomakpopisa"/>
        <w:numPr>
          <w:ilvl w:val="1"/>
          <w:numId w:val="3"/>
        </w:numPr>
        <w:tabs>
          <w:tab w:val="left" w:pos="1085"/>
        </w:tabs>
        <w:spacing w:before="44"/>
        <w:ind w:hanging="261"/>
        <w:jc w:val="both"/>
        <w:rPr>
          <w:rFonts w:asciiTheme="minorHAnsi" w:hAnsiTheme="minorHAnsi" w:cstheme="minorHAnsi"/>
          <w:sz w:val="24"/>
          <w:u w:val="single"/>
          <w:lang w:val="hr-HR"/>
        </w:rPr>
      </w:pPr>
      <w:r w:rsidRPr="001A314D">
        <w:rPr>
          <w:rFonts w:asciiTheme="minorHAnsi" w:hAnsiTheme="minorHAnsi" w:cstheme="minorHAnsi"/>
          <w:sz w:val="24"/>
          <w:u w:val="single"/>
          <w:lang w:val="hr-HR"/>
        </w:rPr>
        <w:t>prihodi od prodaje proizvedene dugotrajne imovine</w:t>
      </w:r>
    </w:p>
    <w:p w14:paraId="0D0E507B" w14:textId="77777777" w:rsidR="00A6299C" w:rsidRPr="004F357B" w:rsidRDefault="00E810B3" w:rsidP="003C76C7">
      <w:pPr>
        <w:pStyle w:val="Odlomakpopisa"/>
        <w:numPr>
          <w:ilvl w:val="2"/>
          <w:numId w:val="3"/>
        </w:numPr>
        <w:spacing w:before="44" w:line="276" w:lineRule="auto"/>
        <w:ind w:left="1134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>prihodi od prodaje građevinskih objekata (prihod od prodaje stanova na kojima postoji stanarsko pravo, a</w:t>
      </w:r>
      <w:r w:rsidR="00305E7A" w:rsidRPr="004F357B">
        <w:rPr>
          <w:rFonts w:asciiTheme="minorHAnsi" w:hAnsiTheme="minorHAnsi" w:cstheme="minorHAnsi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koje korisnici otplaćuju u mjesečnim ratama), prihod od prodaje poljoprivrednog</w:t>
      </w:r>
      <w:r w:rsidRPr="004F357B">
        <w:rPr>
          <w:rFonts w:asciiTheme="minorHAnsi" w:hAnsiTheme="minorHAnsi" w:cstheme="minorHAnsi"/>
          <w:spacing w:val="-2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zemljišta</w:t>
      </w:r>
    </w:p>
    <w:p w14:paraId="79322BF0" w14:textId="77777777" w:rsidR="00A6299C" w:rsidRPr="004F357B" w:rsidRDefault="00A6299C" w:rsidP="003C76C7">
      <w:pPr>
        <w:pStyle w:val="Tijeloteksta"/>
        <w:spacing w:before="5"/>
        <w:jc w:val="both"/>
        <w:rPr>
          <w:rFonts w:asciiTheme="minorHAnsi" w:hAnsiTheme="minorHAnsi" w:cstheme="minorHAnsi"/>
          <w:sz w:val="27"/>
          <w:lang w:val="hr-HR"/>
        </w:rPr>
      </w:pPr>
    </w:p>
    <w:p w14:paraId="14CC8B4E" w14:textId="77777777" w:rsidR="00A6299C" w:rsidRPr="004F357B" w:rsidRDefault="00E810B3" w:rsidP="003C76C7">
      <w:pPr>
        <w:pStyle w:val="Odlomakpopisa"/>
        <w:numPr>
          <w:ilvl w:val="0"/>
          <w:numId w:val="3"/>
        </w:numPr>
        <w:tabs>
          <w:tab w:val="left" w:pos="357"/>
        </w:tabs>
        <w:ind w:hanging="241"/>
        <w:rPr>
          <w:rFonts w:asciiTheme="minorHAnsi" w:hAnsiTheme="minorHAnsi" w:cstheme="minorHAnsi"/>
          <w:b/>
          <w:sz w:val="24"/>
          <w:lang w:val="hr-HR"/>
        </w:rPr>
      </w:pPr>
      <w:r w:rsidRPr="004F357B">
        <w:rPr>
          <w:rFonts w:asciiTheme="minorHAnsi" w:hAnsiTheme="minorHAnsi" w:cstheme="minorHAnsi"/>
          <w:b/>
          <w:sz w:val="24"/>
          <w:lang w:val="hr-HR"/>
        </w:rPr>
        <w:t>Raspoloživa sredstva iz prethodnog</w:t>
      </w:r>
      <w:r w:rsidRPr="004F357B">
        <w:rPr>
          <w:rFonts w:asciiTheme="minorHAnsi" w:hAnsiTheme="minorHAnsi" w:cstheme="minorHAnsi"/>
          <w:b/>
          <w:spacing w:val="-3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b/>
          <w:sz w:val="24"/>
          <w:lang w:val="hr-HR"/>
        </w:rPr>
        <w:t>razdoblja</w:t>
      </w:r>
    </w:p>
    <w:p w14:paraId="0608DF38" w14:textId="77777777" w:rsidR="00A6299C" w:rsidRPr="004F357B" w:rsidRDefault="00E810B3" w:rsidP="003C76C7">
      <w:pPr>
        <w:pStyle w:val="Odlomakpopisa"/>
        <w:numPr>
          <w:ilvl w:val="1"/>
          <w:numId w:val="3"/>
        </w:numPr>
        <w:tabs>
          <w:tab w:val="left" w:pos="851"/>
        </w:tabs>
        <w:spacing w:before="41" w:line="278" w:lineRule="auto"/>
        <w:ind w:left="851" w:hanging="284"/>
        <w:jc w:val="both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>Višak ili manjak iz prethodne godine</w:t>
      </w:r>
      <w:r w:rsidRPr="004F357B">
        <w:rPr>
          <w:rFonts w:asciiTheme="minorHAnsi" w:hAnsiTheme="minorHAnsi" w:cstheme="minorHAnsi"/>
          <w:b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- utvrđuje se nakon završetka proračunske godine, prenosi se u iduću</w:t>
      </w:r>
      <w:r w:rsidRPr="004F357B">
        <w:rPr>
          <w:rFonts w:asciiTheme="minorHAnsi" w:hAnsiTheme="minorHAnsi" w:cstheme="minorHAnsi"/>
          <w:spacing w:val="-2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godinu</w:t>
      </w:r>
    </w:p>
    <w:p w14:paraId="1D681D72" w14:textId="77777777" w:rsidR="00A6299C" w:rsidRPr="004F357B" w:rsidRDefault="00A6299C" w:rsidP="003C76C7">
      <w:pPr>
        <w:spacing w:line="278" w:lineRule="auto"/>
        <w:jc w:val="both"/>
        <w:rPr>
          <w:rFonts w:asciiTheme="minorHAnsi" w:hAnsiTheme="minorHAnsi" w:cstheme="minorHAnsi"/>
          <w:sz w:val="24"/>
          <w:lang w:val="hr-HR"/>
        </w:rPr>
        <w:sectPr w:rsidR="00A6299C" w:rsidRPr="004F357B" w:rsidSect="00B86A43">
          <w:pgSz w:w="11910" w:h="16840"/>
          <w:pgMar w:top="1320" w:right="995" w:bottom="280" w:left="1300" w:header="720" w:footer="720" w:gutter="0"/>
          <w:cols w:space="720"/>
        </w:sectPr>
      </w:pPr>
    </w:p>
    <w:p w14:paraId="3E3E576F" w14:textId="77777777" w:rsidR="00A6299C" w:rsidRPr="004F357B" w:rsidRDefault="00E810B3" w:rsidP="003C76C7">
      <w:pPr>
        <w:pStyle w:val="Tijeloteksta"/>
        <w:ind w:left="116"/>
        <w:jc w:val="both"/>
        <w:rPr>
          <w:rFonts w:asciiTheme="minorHAnsi" w:hAnsiTheme="minorHAnsi" w:cstheme="minorHAnsi"/>
          <w:b/>
          <w:lang w:val="hr-HR"/>
        </w:rPr>
      </w:pPr>
      <w:r w:rsidRPr="004F357B">
        <w:rPr>
          <w:rFonts w:asciiTheme="minorHAnsi" w:hAnsiTheme="minorHAnsi" w:cstheme="minorHAnsi"/>
          <w:b/>
          <w:lang w:val="hr-HR"/>
        </w:rPr>
        <w:lastRenderedPageBreak/>
        <w:t>RASHODI</w:t>
      </w:r>
    </w:p>
    <w:p w14:paraId="78AD1FED" w14:textId="77777777" w:rsidR="00A6299C" w:rsidRPr="004F357B" w:rsidRDefault="00A6299C" w:rsidP="003C76C7">
      <w:pPr>
        <w:pStyle w:val="Tijeloteksta"/>
        <w:spacing w:before="4"/>
        <w:jc w:val="both"/>
        <w:rPr>
          <w:rFonts w:asciiTheme="minorHAnsi" w:hAnsiTheme="minorHAnsi" w:cstheme="minorHAnsi"/>
          <w:sz w:val="31"/>
          <w:lang w:val="hr-HR"/>
        </w:rPr>
      </w:pPr>
    </w:p>
    <w:p w14:paraId="24AEC8CD" w14:textId="77777777" w:rsidR="00A6299C" w:rsidRPr="004F357B" w:rsidRDefault="00E810B3" w:rsidP="003C76C7">
      <w:pPr>
        <w:pStyle w:val="Naslov2"/>
        <w:numPr>
          <w:ilvl w:val="0"/>
          <w:numId w:val="2"/>
        </w:numPr>
        <w:tabs>
          <w:tab w:val="left" w:pos="357"/>
        </w:tabs>
        <w:ind w:hanging="241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Rashodi</w:t>
      </w:r>
      <w:r w:rsidRPr="004F357B">
        <w:rPr>
          <w:rFonts w:asciiTheme="minorHAnsi" w:hAnsiTheme="minorHAnsi" w:cstheme="minorHAnsi"/>
          <w:spacing w:val="-1"/>
          <w:lang w:val="hr-HR"/>
        </w:rPr>
        <w:t xml:space="preserve"> </w:t>
      </w:r>
      <w:r w:rsidRPr="004F357B">
        <w:rPr>
          <w:rFonts w:asciiTheme="minorHAnsi" w:hAnsiTheme="minorHAnsi" w:cstheme="minorHAnsi"/>
          <w:lang w:val="hr-HR"/>
        </w:rPr>
        <w:t>poslovanja</w:t>
      </w:r>
    </w:p>
    <w:p w14:paraId="605A2422" w14:textId="64050CCB" w:rsidR="00A6299C" w:rsidRPr="004F357B" w:rsidRDefault="00E810B3" w:rsidP="003C76C7">
      <w:pPr>
        <w:pStyle w:val="Odlomakpopisa"/>
        <w:numPr>
          <w:ilvl w:val="1"/>
          <w:numId w:val="2"/>
        </w:numPr>
        <w:tabs>
          <w:tab w:val="left" w:pos="851"/>
        </w:tabs>
        <w:spacing w:before="41" w:line="276" w:lineRule="auto"/>
        <w:ind w:left="993" w:hanging="426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u w:val="single"/>
          <w:lang w:val="hr-HR"/>
        </w:rPr>
        <w:t>rashodi za zaposlene</w:t>
      </w:r>
      <w:r w:rsidRPr="004F357B">
        <w:rPr>
          <w:rFonts w:asciiTheme="minorHAnsi" w:hAnsiTheme="minorHAnsi" w:cstheme="minorHAnsi"/>
          <w:b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- bruto plaće službenika i namještenika</w:t>
      </w:r>
      <w:r w:rsidR="007A5D81">
        <w:rPr>
          <w:rFonts w:asciiTheme="minorHAnsi" w:hAnsiTheme="minorHAnsi" w:cstheme="minorHAnsi"/>
          <w:sz w:val="24"/>
          <w:lang w:val="hr-HR"/>
        </w:rPr>
        <w:t xml:space="preserve"> Jedinstvenog upravnog odjela i proračunskih korisnika, J</w:t>
      </w:r>
      <w:r w:rsidRPr="004F357B">
        <w:rPr>
          <w:rFonts w:asciiTheme="minorHAnsi" w:hAnsiTheme="minorHAnsi" w:cstheme="minorHAnsi"/>
          <w:sz w:val="24"/>
          <w:lang w:val="hr-HR"/>
        </w:rPr>
        <w:t>avni radovi, Program "Zaželi"</w:t>
      </w:r>
      <w:r w:rsidR="00305E7A" w:rsidRPr="004F357B">
        <w:rPr>
          <w:rFonts w:asciiTheme="minorHAnsi" w:hAnsiTheme="minorHAnsi" w:cstheme="minorHAnsi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s pripadajućim doprinosima na plaće te ostali rashodi za zaposlene</w:t>
      </w:r>
    </w:p>
    <w:p w14:paraId="7D290703" w14:textId="77777777" w:rsidR="00A6299C" w:rsidRPr="004F357B" w:rsidRDefault="00E810B3" w:rsidP="003C76C7">
      <w:pPr>
        <w:pStyle w:val="Odlomakpopisa"/>
        <w:numPr>
          <w:ilvl w:val="1"/>
          <w:numId w:val="2"/>
        </w:numPr>
        <w:tabs>
          <w:tab w:val="left" w:pos="851"/>
        </w:tabs>
        <w:spacing w:before="41" w:line="276" w:lineRule="auto"/>
        <w:ind w:left="851" w:hanging="284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u w:val="single"/>
          <w:lang w:val="hr-HR"/>
        </w:rPr>
        <w:t>Materijalni rashodi</w:t>
      </w:r>
      <w:r w:rsidRPr="004F357B">
        <w:rPr>
          <w:rFonts w:asciiTheme="minorHAnsi" w:hAnsiTheme="minorHAnsi" w:cstheme="minorHAnsi"/>
          <w:b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- odnose se na rashode za izvršavanje programa i aktivnosti Općine i proračunskih korisnika, a to</w:t>
      </w:r>
      <w:r w:rsidRPr="004F357B">
        <w:rPr>
          <w:rFonts w:asciiTheme="minorHAnsi" w:hAnsiTheme="minorHAnsi" w:cstheme="minorHAnsi"/>
          <w:spacing w:val="-2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su:</w:t>
      </w:r>
    </w:p>
    <w:p w14:paraId="29FEF60D" w14:textId="77777777" w:rsidR="00305E7A" w:rsidRPr="004F357B" w:rsidRDefault="00305E7A" w:rsidP="003C76C7">
      <w:pPr>
        <w:pStyle w:val="Odlomakpopisa"/>
        <w:numPr>
          <w:ilvl w:val="2"/>
          <w:numId w:val="3"/>
        </w:numPr>
        <w:spacing w:before="44" w:line="276" w:lineRule="auto"/>
        <w:ind w:left="1134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i/>
          <w:sz w:val="24"/>
          <w:lang w:val="hr-HR"/>
        </w:rPr>
        <w:t xml:space="preserve">Naknade troškova zaposlenima </w:t>
      </w:r>
      <w:r w:rsidRPr="004F357B">
        <w:rPr>
          <w:rFonts w:asciiTheme="minorHAnsi" w:hAnsiTheme="minorHAnsi" w:cstheme="minorHAnsi"/>
          <w:sz w:val="24"/>
          <w:lang w:val="hr-HR"/>
        </w:rPr>
        <w:t>- troškovi prijevoza na posao i s posla, za službena putovanja i stručno usavršavanje</w:t>
      </w:r>
      <w:r w:rsidRPr="004F357B">
        <w:rPr>
          <w:rFonts w:asciiTheme="minorHAnsi" w:hAnsiTheme="minorHAnsi" w:cstheme="minorHAnsi"/>
          <w:spacing w:val="-6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zaposlenih</w:t>
      </w:r>
    </w:p>
    <w:p w14:paraId="35322338" w14:textId="77777777" w:rsidR="00305E7A" w:rsidRPr="004F357B" w:rsidRDefault="00305E7A" w:rsidP="003C76C7">
      <w:pPr>
        <w:pStyle w:val="Odlomakpopisa"/>
        <w:numPr>
          <w:ilvl w:val="2"/>
          <w:numId w:val="3"/>
        </w:numPr>
        <w:spacing w:before="44" w:line="276" w:lineRule="auto"/>
        <w:ind w:left="1134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i/>
          <w:sz w:val="24"/>
          <w:lang w:val="hr-HR"/>
        </w:rPr>
        <w:t xml:space="preserve">Rashodi za materijal i energiju </w:t>
      </w:r>
      <w:r w:rsidRPr="004F357B">
        <w:rPr>
          <w:rFonts w:asciiTheme="minorHAnsi" w:hAnsiTheme="minorHAnsi" w:cstheme="minorHAnsi"/>
          <w:sz w:val="24"/>
          <w:lang w:val="hr-HR"/>
        </w:rPr>
        <w:t>- troškovi uredskog</w:t>
      </w:r>
      <w:r w:rsidRPr="004F357B">
        <w:rPr>
          <w:rFonts w:asciiTheme="minorHAnsi" w:hAnsiTheme="minorHAnsi" w:cstheme="minorHAnsi"/>
          <w:spacing w:val="41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materijala, literature, troškove električne energije i sitnog inventara, troškove materijala i dijelova za održavanje cesta, zelenih površina te javne</w:t>
      </w:r>
      <w:r w:rsidRPr="004F357B">
        <w:rPr>
          <w:rFonts w:asciiTheme="minorHAnsi" w:hAnsiTheme="minorHAnsi" w:cstheme="minorHAnsi"/>
          <w:spacing w:val="-3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rasvjete</w:t>
      </w:r>
    </w:p>
    <w:p w14:paraId="5F7DF4A8" w14:textId="77777777" w:rsidR="00A6299C" w:rsidRPr="004F357B" w:rsidRDefault="00E810B3" w:rsidP="003C76C7">
      <w:pPr>
        <w:pStyle w:val="Odlomakpopisa"/>
        <w:numPr>
          <w:ilvl w:val="2"/>
          <w:numId w:val="3"/>
        </w:numPr>
        <w:spacing w:before="44" w:line="276" w:lineRule="auto"/>
        <w:ind w:left="1134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i/>
          <w:sz w:val="24"/>
          <w:lang w:val="hr-HR"/>
        </w:rPr>
        <w:t xml:space="preserve">Rashodi za usluge </w:t>
      </w:r>
      <w:r w:rsidRPr="004F357B">
        <w:rPr>
          <w:rFonts w:asciiTheme="minorHAnsi" w:hAnsiTheme="minorHAnsi" w:cstheme="minorHAnsi"/>
          <w:sz w:val="24"/>
          <w:lang w:val="hr-HR"/>
        </w:rPr>
        <w:t xml:space="preserve">- komunalne usluge, usluge promidžbe </w:t>
      </w:r>
      <w:r w:rsidRPr="004F357B">
        <w:rPr>
          <w:rFonts w:asciiTheme="minorHAnsi" w:hAnsiTheme="minorHAnsi" w:cstheme="minorHAnsi"/>
          <w:spacing w:val="-12"/>
          <w:sz w:val="24"/>
          <w:lang w:val="hr-HR"/>
        </w:rPr>
        <w:t xml:space="preserve">i </w:t>
      </w:r>
      <w:r w:rsidRPr="004F357B">
        <w:rPr>
          <w:rFonts w:asciiTheme="minorHAnsi" w:hAnsiTheme="minorHAnsi" w:cstheme="minorHAnsi"/>
          <w:sz w:val="24"/>
          <w:lang w:val="hr-HR"/>
        </w:rPr>
        <w:t>informiranja, zakupnine, usluge tekućeg i investicijskog održavanja građevinskih objekata i opreme, usluge telefona i pošte, računalne usluge i druge</w:t>
      </w:r>
      <w:r w:rsidRPr="004F357B">
        <w:rPr>
          <w:rFonts w:asciiTheme="minorHAnsi" w:hAnsiTheme="minorHAnsi" w:cstheme="minorHAnsi"/>
          <w:spacing w:val="-3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rashode</w:t>
      </w:r>
    </w:p>
    <w:p w14:paraId="7E1FBEA6" w14:textId="77777777" w:rsidR="00305E7A" w:rsidRPr="004F357B" w:rsidRDefault="00305E7A" w:rsidP="003C76C7">
      <w:pPr>
        <w:pStyle w:val="Odlomakpopisa"/>
        <w:numPr>
          <w:ilvl w:val="2"/>
          <w:numId w:val="3"/>
        </w:numPr>
        <w:spacing w:before="44" w:line="276" w:lineRule="auto"/>
        <w:ind w:left="1134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i/>
          <w:sz w:val="24"/>
          <w:lang w:val="hr-HR"/>
        </w:rPr>
        <w:t xml:space="preserve">Ostali nespomenuti rashodi poslovanja </w:t>
      </w:r>
      <w:r w:rsidRPr="004F357B">
        <w:rPr>
          <w:rFonts w:asciiTheme="minorHAnsi" w:hAnsiTheme="minorHAnsi" w:cstheme="minorHAnsi"/>
          <w:sz w:val="24"/>
          <w:lang w:val="hr-HR"/>
        </w:rPr>
        <w:t>- naknada za rad predstavničkih i izvršnih tijela, povjerenstava, rashoda za</w:t>
      </w:r>
      <w:r w:rsidRPr="004F357B">
        <w:rPr>
          <w:rFonts w:asciiTheme="minorHAnsi" w:hAnsiTheme="minorHAnsi" w:cstheme="minorHAnsi"/>
          <w:spacing w:val="-2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reprezentaciju</w:t>
      </w:r>
    </w:p>
    <w:p w14:paraId="22E1DC8B" w14:textId="77777777" w:rsidR="00A6299C" w:rsidRPr="004F357B" w:rsidRDefault="00E810B3" w:rsidP="003C76C7">
      <w:pPr>
        <w:pStyle w:val="Odlomakpopisa"/>
        <w:numPr>
          <w:ilvl w:val="1"/>
          <w:numId w:val="2"/>
        </w:numPr>
        <w:tabs>
          <w:tab w:val="left" w:pos="851"/>
        </w:tabs>
        <w:spacing w:before="41" w:line="276" w:lineRule="auto"/>
        <w:ind w:firstLine="451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u w:val="single"/>
          <w:lang w:val="hr-HR"/>
        </w:rPr>
        <w:t>Financijski rashodi</w:t>
      </w:r>
      <w:r w:rsidRPr="004F357B">
        <w:rPr>
          <w:rFonts w:asciiTheme="minorHAnsi" w:hAnsiTheme="minorHAnsi" w:cstheme="minorHAnsi"/>
          <w:b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 xml:space="preserve">- rashodi za usluge platnog prometa, kamate </w:t>
      </w:r>
    </w:p>
    <w:p w14:paraId="4DD68C40" w14:textId="77777777" w:rsidR="00305E7A" w:rsidRPr="004F357B" w:rsidRDefault="00305E7A" w:rsidP="003C76C7">
      <w:pPr>
        <w:pStyle w:val="Odlomakpopisa"/>
        <w:numPr>
          <w:ilvl w:val="1"/>
          <w:numId w:val="2"/>
        </w:numPr>
        <w:tabs>
          <w:tab w:val="left" w:pos="851"/>
        </w:tabs>
        <w:spacing w:before="41" w:line="276" w:lineRule="auto"/>
        <w:ind w:firstLine="451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u w:val="single"/>
          <w:lang w:val="hr-HR"/>
        </w:rPr>
        <w:t xml:space="preserve">Subvencija </w:t>
      </w:r>
      <w:r w:rsidRPr="004F357B">
        <w:rPr>
          <w:rFonts w:asciiTheme="minorHAnsi" w:hAnsiTheme="minorHAnsi" w:cstheme="minorHAnsi"/>
          <w:sz w:val="24"/>
          <w:lang w:val="hr-HR"/>
        </w:rPr>
        <w:t>– trgovačkim društvima za kupnju placeva u Poslovnoj zoni</w:t>
      </w:r>
    </w:p>
    <w:p w14:paraId="3ACF3F3A" w14:textId="77777777" w:rsidR="00AE14EF" w:rsidRPr="004F357B" w:rsidRDefault="00AE14EF" w:rsidP="003C76C7">
      <w:pPr>
        <w:pStyle w:val="Odlomakpopisa"/>
        <w:numPr>
          <w:ilvl w:val="1"/>
          <w:numId w:val="2"/>
        </w:numPr>
        <w:tabs>
          <w:tab w:val="left" w:pos="851"/>
        </w:tabs>
        <w:spacing w:before="41" w:line="276" w:lineRule="auto"/>
        <w:ind w:left="851" w:hanging="284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u w:val="single"/>
          <w:lang w:val="hr-HR"/>
        </w:rPr>
        <w:t>Naknade građanima i kućanstvima</w:t>
      </w:r>
      <w:r w:rsidRPr="004F357B">
        <w:rPr>
          <w:rFonts w:asciiTheme="minorHAnsi" w:hAnsiTheme="minorHAnsi" w:cstheme="minorHAnsi"/>
          <w:b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- rashodi koji se odnose na isplate u okviru Socijalnog</w:t>
      </w:r>
      <w:r w:rsidRPr="004F357B">
        <w:rPr>
          <w:rFonts w:asciiTheme="minorHAnsi" w:hAnsiTheme="minorHAnsi" w:cstheme="minorHAnsi"/>
          <w:spacing w:val="-1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programa</w:t>
      </w:r>
    </w:p>
    <w:p w14:paraId="3BB974F4" w14:textId="77777777" w:rsidR="00AE14EF" w:rsidRPr="004F357B" w:rsidRDefault="00AE14EF" w:rsidP="003C76C7">
      <w:pPr>
        <w:pStyle w:val="Odlomakpopisa"/>
        <w:numPr>
          <w:ilvl w:val="1"/>
          <w:numId w:val="2"/>
        </w:numPr>
        <w:tabs>
          <w:tab w:val="left" w:pos="851"/>
        </w:tabs>
        <w:spacing w:before="41" w:line="276" w:lineRule="auto"/>
        <w:ind w:left="851" w:hanging="284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u w:val="single"/>
          <w:lang w:val="hr-HR"/>
        </w:rPr>
        <w:t>Ostali rashodi</w:t>
      </w:r>
      <w:r w:rsidRPr="004F357B">
        <w:rPr>
          <w:rFonts w:asciiTheme="minorHAnsi" w:hAnsiTheme="minorHAnsi" w:cstheme="minorHAnsi"/>
          <w:b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- tekuće donacije za financiranje redovne djelatnosti udruga u okviru Programa javnih potreba u kulturi, sportu, za financiranje rada političkih stranaka, vatrogasne zajednice, civilne</w:t>
      </w:r>
      <w:r w:rsidRPr="004F357B">
        <w:rPr>
          <w:rFonts w:asciiTheme="minorHAnsi" w:hAnsiTheme="minorHAnsi" w:cstheme="minorHAnsi"/>
          <w:spacing w:val="-1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zaštite</w:t>
      </w:r>
    </w:p>
    <w:p w14:paraId="54C88929" w14:textId="77777777" w:rsidR="00A6299C" w:rsidRPr="004F357B" w:rsidRDefault="00A6299C" w:rsidP="003C76C7">
      <w:pPr>
        <w:pStyle w:val="Tijeloteksta"/>
        <w:spacing w:before="3"/>
        <w:jc w:val="both"/>
        <w:rPr>
          <w:rFonts w:asciiTheme="minorHAnsi" w:hAnsiTheme="minorHAnsi" w:cstheme="minorHAnsi"/>
          <w:sz w:val="27"/>
          <w:lang w:val="hr-HR"/>
        </w:rPr>
      </w:pPr>
    </w:p>
    <w:p w14:paraId="2C42BF8A" w14:textId="77777777" w:rsidR="00A6299C" w:rsidRPr="004F357B" w:rsidRDefault="00E810B3" w:rsidP="003C76C7">
      <w:pPr>
        <w:pStyle w:val="Naslov2"/>
        <w:numPr>
          <w:ilvl w:val="0"/>
          <w:numId w:val="2"/>
        </w:numPr>
        <w:tabs>
          <w:tab w:val="left" w:pos="357"/>
        </w:tabs>
        <w:ind w:hanging="241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Rashodi za nabavu nefinancijske</w:t>
      </w:r>
      <w:r w:rsidRPr="004F357B">
        <w:rPr>
          <w:rFonts w:asciiTheme="minorHAnsi" w:hAnsiTheme="minorHAnsi" w:cstheme="minorHAnsi"/>
          <w:spacing w:val="-2"/>
          <w:lang w:val="hr-HR"/>
        </w:rPr>
        <w:t xml:space="preserve"> </w:t>
      </w:r>
      <w:r w:rsidRPr="004F357B">
        <w:rPr>
          <w:rFonts w:asciiTheme="minorHAnsi" w:hAnsiTheme="minorHAnsi" w:cstheme="minorHAnsi"/>
          <w:lang w:val="hr-HR"/>
        </w:rPr>
        <w:t>imovine</w:t>
      </w:r>
    </w:p>
    <w:p w14:paraId="17BADC37" w14:textId="77777777" w:rsidR="00A6299C" w:rsidRPr="004F357B" w:rsidRDefault="00E810B3" w:rsidP="003C76C7">
      <w:pPr>
        <w:pStyle w:val="Odlomakpopisa"/>
        <w:numPr>
          <w:ilvl w:val="1"/>
          <w:numId w:val="2"/>
        </w:numPr>
        <w:tabs>
          <w:tab w:val="left" w:pos="851"/>
        </w:tabs>
        <w:spacing w:before="41" w:line="276" w:lineRule="auto"/>
        <w:ind w:firstLine="451"/>
        <w:rPr>
          <w:rFonts w:asciiTheme="minorHAnsi" w:hAnsiTheme="minorHAnsi" w:cstheme="minorHAnsi"/>
          <w:sz w:val="24"/>
          <w:u w:val="single"/>
          <w:lang w:val="hr-HR"/>
        </w:rPr>
      </w:pPr>
      <w:r w:rsidRPr="004F357B">
        <w:rPr>
          <w:rFonts w:asciiTheme="minorHAnsi" w:hAnsiTheme="minorHAnsi" w:cstheme="minorHAnsi"/>
          <w:sz w:val="24"/>
          <w:u w:val="single"/>
          <w:lang w:val="hr-HR"/>
        </w:rPr>
        <w:t>Rashodi za nabavu proizvedene dugotrajne</w:t>
      </w:r>
      <w:r w:rsidRPr="004F357B">
        <w:rPr>
          <w:rFonts w:asciiTheme="minorHAnsi" w:hAnsiTheme="minorHAnsi" w:cstheme="minorHAnsi"/>
          <w:spacing w:val="-5"/>
          <w:sz w:val="24"/>
          <w:u w:val="single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u w:val="single"/>
          <w:lang w:val="hr-HR"/>
        </w:rPr>
        <w:t>imovine</w:t>
      </w:r>
    </w:p>
    <w:p w14:paraId="769EDD9A" w14:textId="77777777" w:rsidR="00A6299C" w:rsidRPr="004F357B" w:rsidRDefault="00E810B3" w:rsidP="003C76C7">
      <w:pPr>
        <w:pStyle w:val="Odlomakpopisa"/>
        <w:numPr>
          <w:ilvl w:val="2"/>
          <w:numId w:val="3"/>
        </w:numPr>
        <w:spacing w:before="44" w:line="276" w:lineRule="auto"/>
        <w:ind w:left="1134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 xml:space="preserve">rashodi za nabavu građevinskih objekata - investicije predviđene programom gradnje objekata i uređenje komunalne </w:t>
      </w:r>
      <w:r w:rsidR="00AE14EF" w:rsidRPr="004F357B">
        <w:rPr>
          <w:rFonts w:asciiTheme="minorHAnsi" w:hAnsiTheme="minorHAnsi" w:cstheme="minorHAnsi"/>
          <w:sz w:val="24"/>
          <w:lang w:val="hr-HR"/>
        </w:rPr>
        <w:t>infrastrukture</w:t>
      </w:r>
      <w:r w:rsidRPr="004F357B">
        <w:rPr>
          <w:rFonts w:asciiTheme="minorHAnsi" w:hAnsiTheme="minorHAnsi" w:cstheme="minorHAnsi"/>
          <w:sz w:val="24"/>
          <w:lang w:val="hr-HR"/>
        </w:rPr>
        <w:t xml:space="preserve"> kao rashodi </w:t>
      </w:r>
      <w:r w:rsidR="00AE14EF" w:rsidRPr="004F357B">
        <w:rPr>
          <w:rFonts w:asciiTheme="minorHAnsi" w:hAnsiTheme="minorHAnsi" w:cstheme="minorHAnsi"/>
          <w:sz w:val="24"/>
          <w:lang w:val="hr-HR"/>
        </w:rPr>
        <w:t>za nabavu postrojenja i opreme.</w:t>
      </w:r>
    </w:p>
    <w:p w14:paraId="47A862EB" w14:textId="77777777" w:rsidR="00A6299C" w:rsidRPr="004F357B" w:rsidRDefault="00E810B3" w:rsidP="003C76C7">
      <w:pPr>
        <w:pStyle w:val="Odlomakpopisa"/>
        <w:numPr>
          <w:ilvl w:val="1"/>
          <w:numId w:val="2"/>
        </w:numPr>
        <w:tabs>
          <w:tab w:val="left" w:pos="851"/>
        </w:tabs>
        <w:spacing w:before="41" w:line="276" w:lineRule="auto"/>
        <w:ind w:left="851" w:hanging="284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u w:val="single"/>
          <w:lang w:val="hr-HR"/>
        </w:rPr>
        <w:t>Rashodi za dodatna ulaganja na nefinancijskoj imovini</w:t>
      </w:r>
      <w:r w:rsidRPr="004F357B">
        <w:rPr>
          <w:rFonts w:asciiTheme="minorHAnsi" w:hAnsiTheme="minorHAnsi" w:cstheme="minorHAnsi"/>
          <w:b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- ulaganja na građevinskim</w:t>
      </w:r>
      <w:r w:rsidRPr="004F357B">
        <w:rPr>
          <w:rFonts w:asciiTheme="minorHAnsi" w:hAnsiTheme="minorHAnsi" w:cstheme="minorHAnsi"/>
          <w:spacing w:val="-1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objektima</w:t>
      </w:r>
    </w:p>
    <w:p w14:paraId="21E7A285" w14:textId="77777777" w:rsidR="00AE14EF" w:rsidRPr="004F357B" w:rsidRDefault="00AE14EF" w:rsidP="00B86A43">
      <w:pPr>
        <w:tabs>
          <w:tab w:val="left" w:pos="1213"/>
        </w:tabs>
        <w:spacing w:before="76" w:line="278" w:lineRule="auto"/>
        <w:rPr>
          <w:rFonts w:asciiTheme="minorHAnsi" w:hAnsiTheme="minorHAnsi" w:cstheme="minorHAnsi"/>
          <w:sz w:val="24"/>
          <w:lang w:val="hr-HR"/>
        </w:rPr>
      </w:pPr>
    </w:p>
    <w:p w14:paraId="4E52974A" w14:textId="77777777" w:rsidR="00AE14EF" w:rsidRPr="004F357B" w:rsidRDefault="00AE14EF" w:rsidP="00B86A43">
      <w:pPr>
        <w:tabs>
          <w:tab w:val="left" w:pos="1213"/>
        </w:tabs>
        <w:spacing w:before="76" w:line="278" w:lineRule="auto"/>
        <w:rPr>
          <w:rFonts w:asciiTheme="minorHAnsi" w:hAnsiTheme="minorHAnsi" w:cstheme="minorHAnsi"/>
          <w:sz w:val="24"/>
          <w:lang w:val="hr-HR"/>
        </w:rPr>
      </w:pPr>
    </w:p>
    <w:p w14:paraId="5182DCF4" w14:textId="0134014A" w:rsidR="00AE14EF" w:rsidRDefault="00AE14EF" w:rsidP="00B86A43">
      <w:pPr>
        <w:tabs>
          <w:tab w:val="left" w:pos="1213"/>
        </w:tabs>
        <w:spacing w:before="76" w:line="278" w:lineRule="auto"/>
        <w:rPr>
          <w:rFonts w:asciiTheme="minorHAnsi" w:hAnsiTheme="minorHAnsi" w:cstheme="minorHAnsi"/>
          <w:sz w:val="24"/>
          <w:lang w:val="hr-HR"/>
        </w:rPr>
      </w:pPr>
    </w:p>
    <w:p w14:paraId="43222735" w14:textId="77777777" w:rsidR="001A314D" w:rsidRPr="004F357B" w:rsidRDefault="001A314D" w:rsidP="00B86A43">
      <w:pPr>
        <w:tabs>
          <w:tab w:val="left" w:pos="1213"/>
        </w:tabs>
        <w:spacing w:before="76" w:line="278" w:lineRule="auto"/>
        <w:rPr>
          <w:rFonts w:asciiTheme="minorHAnsi" w:hAnsiTheme="minorHAnsi" w:cstheme="minorHAnsi"/>
          <w:sz w:val="24"/>
          <w:lang w:val="hr-HR"/>
        </w:rPr>
      </w:pPr>
    </w:p>
    <w:p w14:paraId="24636C23" w14:textId="77777777" w:rsidR="00AE14EF" w:rsidRPr="004F357B" w:rsidRDefault="00AE14EF" w:rsidP="00B86A43">
      <w:pPr>
        <w:tabs>
          <w:tab w:val="left" w:pos="1213"/>
        </w:tabs>
        <w:spacing w:before="76" w:line="278" w:lineRule="auto"/>
        <w:rPr>
          <w:rFonts w:asciiTheme="minorHAnsi" w:hAnsiTheme="minorHAnsi" w:cstheme="minorHAnsi"/>
          <w:sz w:val="24"/>
          <w:lang w:val="hr-HR"/>
        </w:rPr>
      </w:pPr>
    </w:p>
    <w:p w14:paraId="1C47C507" w14:textId="77777777" w:rsidR="00612731" w:rsidRDefault="00612731">
      <w:pPr>
        <w:rPr>
          <w:rFonts w:asciiTheme="minorHAnsi" w:hAnsiTheme="minorHAnsi" w:cstheme="minorHAnsi"/>
          <w:b/>
          <w:sz w:val="28"/>
          <w:lang w:val="hr-HR"/>
        </w:rPr>
      </w:pPr>
      <w:r>
        <w:rPr>
          <w:rFonts w:asciiTheme="minorHAnsi" w:hAnsiTheme="minorHAnsi" w:cstheme="minorHAnsi"/>
          <w:b/>
          <w:sz w:val="28"/>
          <w:lang w:val="hr-HR"/>
        </w:rPr>
        <w:br w:type="page"/>
      </w:r>
    </w:p>
    <w:p w14:paraId="153838FC" w14:textId="78C001B5" w:rsidR="00A6299C" w:rsidRPr="004F357B" w:rsidRDefault="00E810B3" w:rsidP="0010270D">
      <w:pPr>
        <w:spacing w:line="276" w:lineRule="auto"/>
        <w:jc w:val="center"/>
        <w:rPr>
          <w:rFonts w:asciiTheme="minorHAnsi" w:hAnsiTheme="minorHAnsi" w:cstheme="minorHAnsi"/>
          <w:b/>
          <w:sz w:val="28"/>
          <w:lang w:val="hr-HR"/>
        </w:rPr>
      </w:pPr>
      <w:r w:rsidRPr="004F357B">
        <w:rPr>
          <w:rFonts w:asciiTheme="minorHAnsi" w:hAnsiTheme="minorHAnsi" w:cstheme="minorHAnsi"/>
          <w:b/>
          <w:sz w:val="28"/>
          <w:lang w:val="hr-HR"/>
        </w:rPr>
        <w:lastRenderedPageBreak/>
        <w:t xml:space="preserve">PRORAČUN OPĆINE </w:t>
      </w:r>
      <w:r w:rsidR="0010270D" w:rsidRPr="004F357B">
        <w:rPr>
          <w:rFonts w:asciiTheme="minorHAnsi" w:hAnsiTheme="minorHAnsi" w:cstheme="minorHAnsi"/>
          <w:b/>
          <w:sz w:val="28"/>
          <w:lang w:val="hr-HR"/>
        </w:rPr>
        <w:t>DARDA</w:t>
      </w:r>
      <w:r w:rsidR="00F70243">
        <w:rPr>
          <w:rFonts w:asciiTheme="minorHAnsi" w:hAnsiTheme="minorHAnsi" w:cstheme="minorHAnsi"/>
          <w:b/>
          <w:sz w:val="28"/>
          <w:lang w:val="hr-HR"/>
        </w:rPr>
        <w:t xml:space="preserve"> ZA 202</w:t>
      </w:r>
      <w:r w:rsidR="00665C33">
        <w:rPr>
          <w:rFonts w:asciiTheme="minorHAnsi" w:hAnsiTheme="minorHAnsi" w:cstheme="minorHAnsi"/>
          <w:b/>
          <w:sz w:val="28"/>
          <w:lang w:val="hr-HR"/>
        </w:rPr>
        <w:t>5</w:t>
      </w:r>
      <w:r w:rsidR="00F70243">
        <w:rPr>
          <w:rFonts w:asciiTheme="minorHAnsi" w:hAnsiTheme="minorHAnsi" w:cstheme="minorHAnsi"/>
          <w:b/>
          <w:sz w:val="28"/>
          <w:lang w:val="hr-HR"/>
        </w:rPr>
        <w:t>. I PROJEKCIJE ZA 202</w:t>
      </w:r>
      <w:r w:rsidR="00665C33">
        <w:rPr>
          <w:rFonts w:asciiTheme="minorHAnsi" w:hAnsiTheme="minorHAnsi" w:cstheme="minorHAnsi"/>
          <w:b/>
          <w:sz w:val="28"/>
          <w:lang w:val="hr-HR"/>
        </w:rPr>
        <w:t>6</w:t>
      </w:r>
      <w:r w:rsidR="00F70243">
        <w:rPr>
          <w:rFonts w:asciiTheme="minorHAnsi" w:hAnsiTheme="minorHAnsi" w:cstheme="minorHAnsi"/>
          <w:b/>
          <w:sz w:val="28"/>
          <w:lang w:val="hr-HR"/>
        </w:rPr>
        <w:t>. I 202</w:t>
      </w:r>
      <w:r w:rsidR="00665C33">
        <w:rPr>
          <w:rFonts w:asciiTheme="minorHAnsi" w:hAnsiTheme="minorHAnsi" w:cstheme="minorHAnsi"/>
          <w:b/>
          <w:sz w:val="28"/>
          <w:lang w:val="hr-HR"/>
        </w:rPr>
        <w:t>7</w:t>
      </w:r>
      <w:r w:rsidRPr="004F357B">
        <w:rPr>
          <w:rFonts w:asciiTheme="minorHAnsi" w:hAnsiTheme="minorHAnsi" w:cstheme="minorHAnsi"/>
          <w:b/>
          <w:sz w:val="28"/>
          <w:lang w:val="hr-HR"/>
        </w:rPr>
        <w:t>. GODINU</w:t>
      </w:r>
    </w:p>
    <w:p w14:paraId="28EECCDA" w14:textId="77777777" w:rsidR="00A6299C" w:rsidRPr="004F357B" w:rsidRDefault="00A6299C" w:rsidP="00B86A43">
      <w:pPr>
        <w:pStyle w:val="Tijeloteksta"/>
        <w:rPr>
          <w:rFonts w:asciiTheme="minorHAnsi" w:hAnsiTheme="minorHAnsi" w:cstheme="minorHAnsi"/>
          <w:b/>
          <w:sz w:val="20"/>
          <w:lang w:val="hr-HR"/>
        </w:rPr>
      </w:pPr>
    </w:p>
    <w:p w14:paraId="6C358E99" w14:textId="77777777" w:rsidR="00A6299C" w:rsidRPr="004F357B" w:rsidRDefault="00A6299C" w:rsidP="00B86A43">
      <w:pPr>
        <w:pStyle w:val="Tijeloteksta"/>
        <w:rPr>
          <w:rFonts w:asciiTheme="minorHAnsi" w:hAnsiTheme="minorHAnsi" w:cstheme="minorHAnsi"/>
          <w:b/>
          <w:sz w:val="20"/>
          <w:lang w:val="hr-HR"/>
        </w:rPr>
      </w:pPr>
    </w:p>
    <w:p w14:paraId="5DAC87C1" w14:textId="01C717DB" w:rsidR="00A6299C" w:rsidRPr="004F357B" w:rsidRDefault="006F60D3" w:rsidP="006F60D3">
      <w:pPr>
        <w:pStyle w:val="Tijeloteksta"/>
        <w:spacing w:before="9"/>
        <w:jc w:val="center"/>
        <w:rPr>
          <w:rFonts w:asciiTheme="minorHAnsi" w:hAnsiTheme="minorHAnsi" w:cstheme="minorHAnsi"/>
          <w:b/>
          <w:sz w:val="10"/>
          <w:lang w:val="hr-HR"/>
        </w:rPr>
      </w:pPr>
      <w:r>
        <w:rPr>
          <w:noProof/>
        </w:rPr>
        <w:drawing>
          <wp:inline distT="0" distB="0" distL="0" distR="0" wp14:anchorId="4DEAE787" wp14:editId="47C0FE03">
            <wp:extent cx="4572000" cy="2743200"/>
            <wp:effectExtent l="0" t="0" r="0" b="0"/>
            <wp:docPr id="1882741174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3577359B-FF95-276F-4D4A-816617949D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EE0E0D6" w14:textId="77777777" w:rsidR="00A6299C" w:rsidRDefault="00A6299C" w:rsidP="00B86A43">
      <w:pPr>
        <w:pStyle w:val="Tijeloteksta"/>
        <w:rPr>
          <w:rFonts w:asciiTheme="minorHAnsi" w:hAnsiTheme="minorHAnsi" w:cstheme="minorHAnsi"/>
          <w:b/>
          <w:sz w:val="30"/>
          <w:lang w:val="hr-HR"/>
        </w:rPr>
      </w:pPr>
    </w:p>
    <w:tbl>
      <w:tblPr>
        <w:tblW w:w="5180" w:type="dxa"/>
        <w:jc w:val="center"/>
        <w:tblLook w:val="04A0" w:firstRow="1" w:lastRow="0" w:firstColumn="1" w:lastColumn="0" w:noHBand="0" w:noVBand="1"/>
      </w:tblPr>
      <w:tblGrid>
        <w:gridCol w:w="3794"/>
        <w:gridCol w:w="1386"/>
      </w:tblGrid>
      <w:tr w:rsidR="006F60D3" w:rsidRPr="006F60D3" w14:paraId="7DA3BEC2" w14:textId="77777777" w:rsidTr="006F60D3">
        <w:trPr>
          <w:trHeight w:val="315"/>
          <w:jc w:val="center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7B52D" w14:textId="77777777" w:rsidR="006F60D3" w:rsidRPr="006F60D3" w:rsidRDefault="006F60D3" w:rsidP="006F60D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6F60D3">
              <w:rPr>
                <w:rFonts w:ascii="Calibri" w:hAnsi="Calibri" w:cs="Calibri"/>
                <w:color w:val="000000"/>
                <w:lang w:val="hr-HR" w:eastAsia="hr-HR"/>
              </w:rPr>
              <w:t>Izvršenje proračuna 2024. godine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E67E0" w14:textId="77777777" w:rsidR="006F60D3" w:rsidRPr="006F60D3" w:rsidRDefault="006F60D3" w:rsidP="006F60D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/>
              </w:rPr>
            </w:pPr>
            <w:r w:rsidRPr="006F60D3">
              <w:rPr>
                <w:rFonts w:ascii="Calibri" w:hAnsi="Calibri" w:cs="Calibri"/>
                <w:color w:val="000000"/>
                <w:lang w:val="hr-HR" w:eastAsia="hr-HR"/>
              </w:rPr>
              <w:t>4.183.402,07</w:t>
            </w:r>
          </w:p>
        </w:tc>
      </w:tr>
      <w:tr w:rsidR="006F60D3" w:rsidRPr="006F60D3" w14:paraId="64C53314" w14:textId="77777777" w:rsidTr="006F60D3">
        <w:trPr>
          <w:trHeight w:val="300"/>
          <w:jc w:val="center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A1622" w14:textId="77777777" w:rsidR="006F60D3" w:rsidRPr="006F60D3" w:rsidRDefault="006F60D3" w:rsidP="006F60D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6F60D3">
              <w:rPr>
                <w:rFonts w:ascii="Calibri" w:hAnsi="Calibri" w:cs="Calibri"/>
                <w:color w:val="000000"/>
                <w:lang w:val="hr-HR" w:eastAsia="hr-HR"/>
              </w:rPr>
              <w:t>Plan proračuna 2025. godine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FE15C" w14:textId="77777777" w:rsidR="006F60D3" w:rsidRPr="006F60D3" w:rsidRDefault="006F60D3" w:rsidP="006F60D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/>
              </w:rPr>
            </w:pPr>
            <w:r w:rsidRPr="006F60D3">
              <w:rPr>
                <w:rFonts w:ascii="Calibri" w:hAnsi="Calibri" w:cs="Calibri"/>
                <w:color w:val="000000"/>
                <w:lang w:val="hr-HR" w:eastAsia="hr-HR"/>
              </w:rPr>
              <w:t>7.085.938,95</w:t>
            </w:r>
          </w:p>
        </w:tc>
      </w:tr>
      <w:tr w:rsidR="006F60D3" w:rsidRPr="006F60D3" w14:paraId="3B270303" w14:textId="77777777" w:rsidTr="006F60D3">
        <w:trPr>
          <w:trHeight w:val="315"/>
          <w:jc w:val="center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569FF" w14:textId="77777777" w:rsidR="006F60D3" w:rsidRPr="006F60D3" w:rsidRDefault="006F60D3" w:rsidP="006F60D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6F60D3">
              <w:rPr>
                <w:rFonts w:ascii="Calibri" w:hAnsi="Calibri" w:cs="Calibri"/>
                <w:color w:val="000000"/>
                <w:lang w:val="hr-HR" w:eastAsia="hr-HR"/>
              </w:rPr>
              <w:t>Plan proračuna za 2026. godinu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0436A" w14:textId="77777777" w:rsidR="006F60D3" w:rsidRPr="006F60D3" w:rsidRDefault="006F60D3" w:rsidP="006F60D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/>
              </w:rPr>
            </w:pPr>
            <w:r w:rsidRPr="006F60D3">
              <w:rPr>
                <w:rFonts w:ascii="Calibri" w:hAnsi="Calibri" w:cs="Calibri"/>
                <w:color w:val="000000"/>
                <w:lang w:val="hr-HR" w:eastAsia="hr-HR"/>
              </w:rPr>
              <w:t>8.888.019,94</w:t>
            </w:r>
          </w:p>
        </w:tc>
      </w:tr>
      <w:tr w:rsidR="006F60D3" w:rsidRPr="006F60D3" w14:paraId="546CD822" w14:textId="77777777" w:rsidTr="006F60D3">
        <w:trPr>
          <w:trHeight w:val="300"/>
          <w:jc w:val="center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B6B32" w14:textId="77777777" w:rsidR="006F60D3" w:rsidRPr="006F60D3" w:rsidRDefault="006F60D3" w:rsidP="006F60D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6F60D3">
              <w:rPr>
                <w:rFonts w:ascii="Calibri" w:hAnsi="Calibri" w:cs="Calibri"/>
                <w:color w:val="000000"/>
                <w:lang w:val="hr-HR" w:eastAsia="hr-HR"/>
              </w:rPr>
              <w:t>Projekcija proračuna za 2027. godinu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C4696" w14:textId="77777777" w:rsidR="006F60D3" w:rsidRPr="006F60D3" w:rsidRDefault="006F60D3" w:rsidP="006F60D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/>
              </w:rPr>
            </w:pPr>
            <w:r w:rsidRPr="006F60D3">
              <w:rPr>
                <w:rFonts w:ascii="Calibri" w:hAnsi="Calibri" w:cs="Calibri"/>
                <w:color w:val="000000"/>
                <w:lang w:val="hr-HR" w:eastAsia="hr-HR"/>
              </w:rPr>
              <w:t>7.414.673,64</w:t>
            </w:r>
          </w:p>
        </w:tc>
      </w:tr>
      <w:tr w:rsidR="006F60D3" w:rsidRPr="006F60D3" w14:paraId="5BED9A44" w14:textId="77777777" w:rsidTr="006F60D3">
        <w:trPr>
          <w:trHeight w:val="315"/>
          <w:jc w:val="center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C82EA" w14:textId="77777777" w:rsidR="006F60D3" w:rsidRPr="006F60D3" w:rsidRDefault="006F60D3" w:rsidP="006F60D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6F60D3">
              <w:rPr>
                <w:rFonts w:ascii="Calibri" w:hAnsi="Calibri" w:cs="Calibri"/>
                <w:color w:val="000000"/>
                <w:lang w:val="hr-HR" w:eastAsia="hr-HR"/>
              </w:rPr>
              <w:t>Projekcija proračuna za 2028. godinu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740CB" w14:textId="77777777" w:rsidR="006F60D3" w:rsidRPr="006F60D3" w:rsidRDefault="006F60D3" w:rsidP="006F60D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/>
              </w:rPr>
            </w:pPr>
            <w:r w:rsidRPr="006F60D3">
              <w:rPr>
                <w:rFonts w:ascii="Calibri" w:hAnsi="Calibri" w:cs="Calibri"/>
                <w:color w:val="000000"/>
                <w:lang w:val="hr-HR" w:eastAsia="hr-HR"/>
              </w:rPr>
              <w:t>6.213.302,41</w:t>
            </w:r>
          </w:p>
        </w:tc>
      </w:tr>
    </w:tbl>
    <w:p w14:paraId="67E0A742" w14:textId="77777777" w:rsidR="00F359CD" w:rsidRDefault="00F359CD" w:rsidP="00B86A43">
      <w:pPr>
        <w:pStyle w:val="Tijeloteksta"/>
        <w:rPr>
          <w:rFonts w:asciiTheme="minorHAnsi" w:hAnsiTheme="minorHAnsi" w:cstheme="minorHAnsi"/>
          <w:b/>
          <w:sz w:val="30"/>
          <w:lang w:val="hr-HR"/>
        </w:rPr>
      </w:pPr>
    </w:p>
    <w:p w14:paraId="2A78C924" w14:textId="77777777" w:rsidR="00A6299C" w:rsidRPr="004F357B" w:rsidRDefault="00A6299C" w:rsidP="00B86A43">
      <w:pPr>
        <w:pStyle w:val="Tijeloteksta"/>
        <w:spacing w:before="8"/>
        <w:rPr>
          <w:rFonts w:asciiTheme="minorHAnsi" w:hAnsiTheme="minorHAnsi" w:cstheme="minorHAnsi"/>
          <w:sz w:val="32"/>
          <w:lang w:val="hr-HR"/>
        </w:rPr>
      </w:pPr>
    </w:p>
    <w:p w14:paraId="1D96CC38" w14:textId="7E8D0F03" w:rsidR="00665C33" w:rsidRDefault="0010270D" w:rsidP="00B86A43">
      <w:pPr>
        <w:pStyle w:val="Tijeloteksta"/>
        <w:spacing w:line="276" w:lineRule="auto"/>
        <w:ind w:left="116" w:firstLine="707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Uz redovne aktivnosti Općine u 202</w:t>
      </w:r>
      <w:r w:rsidR="006F60D3">
        <w:rPr>
          <w:rFonts w:asciiTheme="minorHAnsi" w:hAnsiTheme="minorHAnsi" w:cstheme="minorHAnsi"/>
          <w:lang w:val="hr-HR"/>
        </w:rPr>
        <w:t>6</w:t>
      </w:r>
      <w:r w:rsidRPr="004F357B">
        <w:rPr>
          <w:rFonts w:asciiTheme="minorHAnsi" w:hAnsiTheme="minorHAnsi" w:cstheme="minorHAnsi"/>
          <w:lang w:val="hr-HR"/>
        </w:rPr>
        <w:t xml:space="preserve">. </w:t>
      </w:r>
      <w:r w:rsidR="00DA74F5">
        <w:rPr>
          <w:rFonts w:asciiTheme="minorHAnsi" w:hAnsiTheme="minorHAnsi" w:cstheme="minorHAnsi"/>
          <w:lang w:val="hr-HR"/>
        </w:rPr>
        <w:t>g</w:t>
      </w:r>
      <w:r w:rsidRPr="004F357B">
        <w:rPr>
          <w:rFonts w:asciiTheme="minorHAnsi" w:hAnsiTheme="minorHAnsi" w:cstheme="minorHAnsi"/>
          <w:lang w:val="hr-HR"/>
        </w:rPr>
        <w:t xml:space="preserve">odini </w:t>
      </w:r>
      <w:r w:rsidR="00482F6C">
        <w:rPr>
          <w:rFonts w:asciiTheme="minorHAnsi" w:hAnsiTheme="minorHAnsi" w:cstheme="minorHAnsi"/>
          <w:lang w:val="hr-HR"/>
        </w:rPr>
        <w:t>i projekcijama za 202</w:t>
      </w:r>
      <w:r w:rsidR="006F60D3">
        <w:rPr>
          <w:rFonts w:asciiTheme="minorHAnsi" w:hAnsiTheme="minorHAnsi" w:cstheme="minorHAnsi"/>
          <w:lang w:val="hr-HR"/>
        </w:rPr>
        <w:t>7</w:t>
      </w:r>
      <w:r w:rsidR="00482F6C">
        <w:rPr>
          <w:rFonts w:asciiTheme="minorHAnsi" w:hAnsiTheme="minorHAnsi" w:cstheme="minorHAnsi"/>
          <w:lang w:val="hr-HR"/>
        </w:rPr>
        <w:t>. i 202</w:t>
      </w:r>
      <w:r w:rsidR="006F60D3">
        <w:rPr>
          <w:rFonts w:asciiTheme="minorHAnsi" w:hAnsiTheme="minorHAnsi" w:cstheme="minorHAnsi"/>
          <w:lang w:val="hr-HR"/>
        </w:rPr>
        <w:t>8</w:t>
      </w:r>
      <w:r w:rsidR="00482F6C">
        <w:rPr>
          <w:rFonts w:asciiTheme="minorHAnsi" w:hAnsiTheme="minorHAnsi" w:cstheme="minorHAnsi"/>
          <w:lang w:val="hr-HR"/>
        </w:rPr>
        <w:t xml:space="preserve">. godinu se </w:t>
      </w:r>
      <w:r w:rsidR="00811CA8">
        <w:rPr>
          <w:rFonts w:asciiTheme="minorHAnsi" w:hAnsiTheme="minorHAnsi" w:cstheme="minorHAnsi"/>
          <w:lang w:val="hr-HR"/>
        </w:rPr>
        <w:t xml:space="preserve">planiraju </w:t>
      </w:r>
      <w:r w:rsidR="00665C33">
        <w:rPr>
          <w:rFonts w:asciiTheme="minorHAnsi" w:hAnsiTheme="minorHAnsi" w:cstheme="minorHAnsi"/>
          <w:lang w:val="hr-HR"/>
        </w:rPr>
        <w:t xml:space="preserve">projekt </w:t>
      </w:r>
    </w:p>
    <w:p w14:paraId="5B3B632E" w14:textId="77777777" w:rsidR="00665C33" w:rsidRDefault="00482F6C" w:rsidP="00B86A43">
      <w:pPr>
        <w:pStyle w:val="Tijeloteksta"/>
        <w:spacing w:line="276" w:lineRule="auto"/>
        <w:ind w:left="116" w:firstLine="707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P</w:t>
      </w:r>
      <w:r w:rsidR="0010270D" w:rsidRPr="004F357B">
        <w:rPr>
          <w:rFonts w:asciiTheme="minorHAnsi" w:hAnsiTheme="minorHAnsi" w:cstheme="minorHAnsi"/>
          <w:lang w:val="hr-HR"/>
        </w:rPr>
        <w:t xml:space="preserve">lanirani </w:t>
      </w:r>
      <w:r>
        <w:rPr>
          <w:rFonts w:asciiTheme="minorHAnsi" w:hAnsiTheme="minorHAnsi" w:cstheme="minorHAnsi"/>
          <w:lang w:val="hr-HR"/>
        </w:rPr>
        <w:t xml:space="preserve">su </w:t>
      </w:r>
      <w:r w:rsidR="0010270D" w:rsidRPr="004F357B">
        <w:rPr>
          <w:rFonts w:asciiTheme="minorHAnsi" w:hAnsiTheme="minorHAnsi" w:cstheme="minorHAnsi"/>
          <w:lang w:val="hr-HR"/>
        </w:rPr>
        <w:t xml:space="preserve">projekti </w:t>
      </w:r>
    </w:p>
    <w:p w14:paraId="1EBE4A22" w14:textId="052EB58D" w:rsidR="00811CA8" w:rsidRDefault="00811CA8" w:rsidP="00811CA8">
      <w:pPr>
        <w:pStyle w:val="Tijelotekst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Zaželi faza V, koji je potpisan na 3 godine</w:t>
      </w:r>
      <w:r w:rsidRPr="004F357B">
        <w:rPr>
          <w:rFonts w:asciiTheme="minorHAnsi" w:hAnsiTheme="minorHAnsi" w:cstheme="minorHAnsi"/>
          <w:lang w:val="hr-HR"/>
        </w:rPr>
        <w:t>.</w:t>
      </w:r>
    </w:p>
    <w:p w14:paraId="4E941D2E" w14:textId="77777777" w:rsidR="00665C33" w:rsidRDefault="00665C33" w:rsidP="00665C33">
      <w:pPr>
        <w:pStyle w:val="Tijelotekst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Izgradnje igrališta </w:t>
      </w:r>
    </w:p>
    <w:p w14:paraId="5E1BC0A7" w14:textId="77777777" w:rsidR="00665C33" w:rsidRDefault="00665C33" w:rsidP="00665C33">
      <w:pPr>
        <w:pStyle w:val="Tijelotekst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Uređenje sportskih objekata</w:t>
      </w:r>
    </w:p>
    <w:p w14:paraId="754E8E9A" w14:textId="77777777" w:rsidR="00665C33" w:rsidRDefault="00665C33" w:rsidP="00665C33">
      <w:pPr>
        <w:pStyle w:val="Tijelotekst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Saniranje divljih odlagališta </w:t>
      </w:r>
    </w:p>
    <w:p w14:paraId="5629CED1" w14:textId="77777777" w:rsidR="00665C33" w:rsidRDefault="009D5901" w:rsidP="00665C33">
      <w:pPr>
        <w:pStyle w:val="Tijelotekst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uređenje srednje stare srednje škole</w:t>
      </w:r>
    </w:p>
    <w:p w14:paraId="1FFAEE72" w14:textId="77777777" w:rsidR="00665C33" w:rsidRDefault="00665C33" w:rsidP="00665C33">
      <w:pPr>
        <w:pStyle w:val="Tijelotekst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izgradnja </w:t>
      </w:r>
      <w:r w:rsidR="009F5104">
        <w:rPr>
          <w:rFonts w:asciiTheme="minorHAnsi" w:hAnsiTheme="minorHAnsi" w:cstheme="minorHAnsi"/>
          <w:lang w:val="hr-HR"/>
        </w:rPr>
        <w:t>zgrad</w:t>
      </w:r>
      <w:r>
        <w:rPr>
          <w:rFonts w:asciiTheme="minorHAnsi" w:hAnsiTheme="minorHAnsi" w:cstheme="minorHAnsi"/>
          <w:lang w:val="hr-HR"/>
        </w:rPr>
        <w:t>e</w:t>
      </w:r>
      <w:r w:rsidR="009F5104">
        <w:rPr>
          <w:rFonts w:asciiTheme="minorHAnsi" w:hAnsiTheme="minorHAnsi" w:cstheme="minorHAnsi"/>
          <w:lang w:val="hr-HR"/>
        </w:rPr>
        <w:t xml:space="preserve"> DVD-a</w:t>
      </w:r>
    </w:p>
    <w:p w14:paraId="1DE2A812" w14:textId="77777777" w:rsidR="00665C33" w:rsidRDefault="00665C33" w:rsidP="00665C33">
      <w:pPr>
        <w:pStyle w:val="Tijelotekst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dodatna obnova doma kulture u Dardi</w:t>
      </w:r>
    </w:p>
    <w:p w14:paraId="0BC87D7E" w14:textId="77777777" w:rsidR="00665C33" w:rsidRDefault="00665C33" w:rsidP="00665C33">
      <w:pPr>
        <w:pStyle w:val="Tijelotekst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održavanje cesta i nogostupa</w:t>
      </w:r>
    </w:p>
    <w:p w14:paraId="1006963F" w14:textId="77777777" w:rsidR="00665C33" w:rsidRDefault="00665C33" w:rsidP="00665C33">
      <w:pPr>
        <w:pStyle w:val="Tijelotekst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pješačko biciklistička staza od Poslovne zone do Sv. I. Krstitelja</w:t>
      </w:r>
    </w:p>
    <w:p w14:paraId="41839666" w14:textId="77777777" w:rsidR="00665C33" w:rsidRDefault="00665C33" w:rsidP="00665C33">
      <w:pPr>
        <w:pStyle w:val="Tijelotekst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rekonstrukcija javne rasvjete</w:t>
      </w:r>
    </w:p>
    <w:p w14:paraId="37CC4BD0" w14:textId="2E7BFD3F" w:rsidR="00665C33" w:rsidRDefault="006F60D3" w:rsidP="00665C33">
      <w:pPr>
        <w:pStyle w:val="Tijelotekst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nerazvrstana ceste prema farmi za tov svinja Darda 1</w:t>
      </w:r>
    </w:p>
    <w:p w14:paraId="699927C2" w14:textId="2577B353" w:rsidR="00665C33" w:rsidRDefault="006F60D3" w:rsidP="00665C33">
      <w:pPr>
        <w:pStyle w:val="Tijelotekst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nerazvrstana cesta Augusta Šenoe faza II</w:t>
      </w:r>
    </w:p>
    <w:p w14:paraId="0402D29E" w14:textId="1E189BFE" w:rsidR="00665C33" w:rsidRDefault="00665C33" w:rsidP="00665C33">
      <w:pPr>
        <w:pStyle w:val="Tijelotekst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rekonstrukcija nerazvrstane ceste </w:t>
      </w:r>
      <w:r w:rsidR="006F60D3">
        <w:rPr>
          <w:rFonts w:asciiTheme="minorHAnsi" w:hAnsiTheme="minorHAnsi" w:cstheme="minorHAnsi"/>
          <w:lang w:val="hr-HR"/>
        </w:rPr>
        <w:t>Ljudevita Gaja</w:t>
      </w:r>
    </w:p>
    <w:p w14:paraId="36963EDA" w14:textId="6815CD12" w:rsidR="00665C33" w:rsidRDefault="00811CA8" w:rsidP="00665C33">
      <w:pPr>
        <w:pStyle w:val="Tijelotekst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Projektna dokumentacija za izgradnju nove zgrade DV Radost</w:t>
      </w:r>
    </w:p>
    <w:p w14:paraId="2A221E7A" w14:textId="77777777" w:rsidR="00A6299C" w:rsidRDefault="009D5901" w:rsidP="00B86A43">
      <w:pPr>
        <w:pStyle w:val="Tijelotekst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kanalizacije rubnih dijelova Darde, Uglješ i Švajcarnica</w:t>
      </w:r>
    </w:p>
    <w:p w14:paraId="1F4B620F" w14:textId="66A4432B" w:rsidR="00665C33" w:rsidRPr="00665C33" w:rsidRDefault="00665C33" w:rsidP="00665C33">
      <w:pPr>
        <w:pStyle w:val="Tijeloteksta"/>
        <w:spacing w:line="276" w:lineRule="auto"/>
        <w:jc w:val="both"/>
        <w:rPr>
          <w:rFonts w:asciiTheme="minorHAnsi" w:hAnsiTheme="minorHAnsi" w:cstheme="minorHAnsi"/>
          <w:lang w:val="hr-HR"/>
        </w:rPr>
        <w:sectPr w:rsidR="00665C33" w:rsidRPr="00665C33" w:rsidSect="00B86A43">
          <w:pgSz w:w="11910" w:h="16840"/>
          <w:pgMar w:top="1320" w:right="995" w:bottom="280" w:left="1300" w:header="720" w:footer="720" w:gutter="0"/>
          <w:cols w:space="720"/>
        </w:sectPr>
      </w:pPr>
    </w:p>
    <w:p w14:paraId="29FD9638" w14:textId="089BB4E4" w:rsidR="00A6299C" w:rsidRPr="000D75E5" w:rsidRDefault="00E810B3" w:rsidP="000D75E5">
      <w:pPr>
        <w:pStyle w:val="Tijeloteksta"/>
        <w:spacing w:line="276" w:lineRule="auto"/>
        <w:ind w:left="116" w:firstLine="707"/>
        <w:jc w:val="both"/>
        <w:rPr>
          <w:rFonts w:asciiTheme="minorHAnsi" w:hAnsiTheme="minorHAnsi" w:cstheme="minorHAnsi"/>
          <w:b/>
          <w:bCs/>
          <w:lang w:val="hr-HR"/>
        </w:rPr>
      </w:pPr>
      <w:r w:rsidRPr="000D75E5">
        <w:rPr>
          <w:rFonts w:asciiTheme="minorHAnsi" w:hAnsiTheme="minorHAnsi" w:cstheme="minorHAnsi"/>
          <w:b/>
          <w:bCs/>
          <w:lang w:val="hr-HR"/>
        </w:rPr>
        <w:lastRenderedPageBreak/>
        <w:t xml:space="preserve">Struktura prihoda proračuna Općine </w:t>
      </w:r>
      <w:r w:rsidR="009D5901" w:rsidRPr="000D75E5">
        <w:rPr>
          <w:rFonts w:asciiTheme="minorHAnsi" w:hAnsiTheme="minorHAnsi" w:cstheme="minorHAnsi"/>
          <w:b/>
          <w:bCs/>
          <w:lang w:val="hr-HR"/>
        </w:rPr>
        <w:t>Darda</w:t>
      </w:r>
      <w:r w:rsidR="00F70243" w:rsidRPr="000D75E5">
        <w:rPr>
          <w:rFonts w:asciiTheme="minorHAnsi" w:hAnsiTheme="minorHAnsi" w:cstheme="minorHAnsi"/>
          <w:b/>
          <w:bCs/>
          <w:lang w:val="hr-HR"/>
        </w:rPr>
        <w:t xml:space="preserve"> za 202</w:t>
      </w:r>
      <w:r w:rsidR="001A7EED">
        <w:rPr>
          <w:rFonts w:asciiTheme="minorHAnsi" w:hAnsiTheme="minorHAnsi" w:cstheme="minorHAnsi"/>
          <w:b/>
          <w:bCs/>
          <w:lang w:val="hr-HR"/>
        </w:rPr>
        <w:t>5</w:t>
      </w:r>
      <w:r w:rsidRPr="000D75E5">
        <w:rPr>
          <w:rFonts w:asciiTheme="minorHAnsi" w:hAnsiTheme="minorHAnsi" w:cstheme="minorHAnsi"/>
          <w:b/>
          <w:bCs/>
          <w:lang w:val="hr-HR"/>
        </w:rPr>
        <w:t>.</w:t>
      </w:r>
      <w:r w:rsidR="009D5901" w:rsidRPr="000D75E5">
        <w:rPr>
          <w:rFonts w:asciiTheme="minorHAnsi" w:hAnsiTheme="minorHAnsi" w:cstheme="minorHAnsi"/>
          <w:b/>
          <w:bCs/>
          <w:lang w:val="hr-HR"/>
        </w:rPr>
        <w:t xml:space="preserve"> godinu</w:t>
      </w:r>
    </w:p>
    <w:p w14:paraId="70ACE2B1" w14:textId="77777777" w:rsidR="0043486A" w:rsidRDefault="0043486A" w:rsidP="000D75E5">
      <w:pPr>
        <w:pStyle w:val="Bezproreda"/>
        <w:rPr>
          <w:lang w:val="hr-HR"/>
        </w:rPr>
      </w:pPr>
    </w:p>
    <w:p w14:paraId="0F53427A" w14:textId="1742130F" w:rsidR="0043486A" w:rsidRDefault="00811CA8" w:rsidP="000D75E5">
      <w:pPr>
        <w:pStyle w:val="Bezproreda"/>
        <w:jc w:val="center"/>
        <w:rPr>
          <w:rFonts w:asciiTheme="minorHAnsi" w:hAnsiTheme="minorHAnsi" w:cstheme="minorHAnsi"/>
          <w:lang w:val="hr-HR"/>
        </w:rPr>
      </w:pPr>
      <w:r>
        <w:rPr>
          <w:noProof/>
        </w:rPr>
        <w:drawing>
          <wp:inline distT="0" distB="0" distL="0" distR="0" wp14:anchorId="5CE1DF18" wp14:editId="76726E46">
            <wp:extent cx="5991225" cy="2743200"/>
            <wp:effectExtent l="0" t="0" r="9525" b="0"/>
            <wp:docPr id="917809903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57DD1FDF-2021-C10E-CEC3-66EC670D4B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4DAD3E5" w14:textId="77777777" w:rsidR="00DA63DF" w:rsidRPr="004F357B" w:rsidRDefault="00DA63DF" w:rsidP="00C53756">
      <w:pPr>
        <w:pStyle w:val="Naslov2"/>
        <w:rPr>
          <w:rFonts w:asciiTheme="minorHAnsi" w:hAnsiTheme="minorHAnsi" w:cstheme="minorHAnsi"/>
          <w:lang w:val="hr-HR"/>
        </w:rPr>
      </w:pPr>
    </w:p>
    <w:p w14:paraId="2EE17666" w14:textId="77777777" w:rsidR="00C53756" w:rsidRPr="004F357B" w:rsidRDefault="00C53756" w:rsidP="00B86A43">
      <w:pPr>
        <w:pStyle w:val="Tijeloteksta"/>
        <w:rPr>
          <w:rFonts w:asciiTheme="minorHAnsi" w:hAnsiTheme="minorHAnsi" w:cstheme="minorHAnsi"/>
          <w:b/>
          <w:sz w:val="26"/>
          <w:lang w:val="hr-HR"/>
        </w:rPr>
      </w:pPr>
    </w:p>
    <w:tbl>
      <w:tblPr>
        <w:tblW w:w="6944" w:type="dxa"/>
        <w:jc w:val="center"/>
        <w:tblLook w:val="04A0" w:firstRow="1" w:lastRow="0" w:firstColumn="1" w:lastColumn="0" w:noHBand="0" w:noVBand="1"/>
      </w:tblPr>
      <w:tblGrid>
        <w:gridCol w:w="5098"/>
        <w:gridCol w:w="1846"/>
      </w:tblGrid>
      <w:tr w:rsidR="00811CA8" w:rsidRPr="00811CA8" w14:paraId="54F6A877" w14:textId="77777777" w:rsidTr="00811CA8">
        <w:trPr>
          <w:trHeight w:val="315"/>
          <w:jc w:val="center"/>
        </w:trPr>
        <w:tc>
          <w:tcPr>
            <w:tcW w:w="5098" w:type="dxa"/>
            <w:tcBorders>
              <w:top w:val="nil"/>
              <w:left w:val="nil"/>
              <w:bottom w:val="single" w:sz="12" w:space="0" w:color="92CDDC"/>
              <w:right w:val="nil"/>
            </w:tcBorders>
            <w:shd w:val="clear" w:color="000000" w:fill="FFFFFF"/>
            <w:noWrap/>
            <w:vAlign w:val="center"/>
            <w:hideMark/>
          </w:tcPr>
          <w:p w14:paraId="1B9BEF81" w14:textId="77777777" w:rsidR="00811CA8" w:rsidRPr="00811CA8" w:rsidRDefault="00811CA8" w:rsidP="00811CA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hr-HR" w:eastAsia="hr-HR"/>
              </w:rPr>
            </w:pPr>
            <w:r w:rsidRPr="00811CA8">
              <w:rPr>
                <w:rFonts w:ascii="Calibri" w:hAnsi="Calibri" w:cs="Calibri"/>
                <w:b/>
                <w:bCs/>
                <w:color w:val="000000"/>
                <w:lang w:val="hr-HR" w:eastAsia="hr-HR"/>
              </w:rPr>
              <w:t>Vrsta prihoda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12" w:space="0" w:color="92CDDC"/>
              <w:right w:val="nil"/>
            </w:tcBorders>
            <w:shd w:val="clear" w:color="000000" w:fill="FFFFFF"/>
            <w:noWrap/>
            <w:vAlign w:val="center"/>
            <w:hideMark/>
          </w:tcPr>
          <w:p w14:paraId="483FDC63" w14:textId="77777777" w:rsidR="00811CA8" w:rsidRPr="00811CA8" w:rsidRDefault="00811CA8" w:rsidP="00811CA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hr-HR" w:eastAsia="hr-HR"/>
              </w:rPr>
            </w:pPr>
            <w:r w:rsidRPr="00811CA8">
              <w:rPr>
                <w:rFonts w:ascii="Calibri" w:hAnsi="Calibri" w:cs="Calibri"/>
                <w:b/>
                <w:bCs/>
                <w:color w:val="000000"/>
                <w:lang w:val="hr-HR" w:eastAsia="hr-HR"/>
              </w:rPr>
              <w:t>Prihodi u EUR</w:t>
            </w:r>
          </w:p>
        </w:tc>
      </w:tr>
      <w:tr w:rsidR="00811CA8" w:rsidRPr="00811CA8" w14:paraId="68E228E4" w14:textId="77777777" w:rsidTr="00811CA8">
        <w:trPr>
          <w:trHeight w:val="330"/>
          <w:jc w:val="center"/>
        </w:trPr>
        <w:tc>
          <w:tcPr>
            <w:tcW w:w="5098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000000" w:fill="DAEEF3"/>
            <w:noWrap/>
            <w:vAlign w:val="center"/>
            <w:hideMark/>
          </w:tcPr>
          <w:p w14:paraId="15A9C9A8" w14:textId="77777777" w:rsidR="00811CA8" w:rsidRPr="00811CA8" w:rsidRDefault="00811CA8" w:rsidP="00811CA8">
            <w:pPr>
              <w:widowControl/>
              <w:autoSpaceDE/>
              <w:autoSpaceDN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811CA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Prihodi od poreza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000000" w:fill="DAEEF3"/>
            <w:noWrap/>
            <w:vAlign w:val="center"/>
            <w:hideMark/>
          </w:tcPr>
          <w:p w14:paraId="2DA9DF24" w14:textId="77777777" w:rsidR="00811CA8" w:rsidRPr="00811CA8" w:rsidRDefault="00811CA8" w:rsidP="00811CA8">
            <w:pPr>
              <w:widowControl/>
              <w:autoSpaceDE/>
              <w:autoSpaceDN/>
              <w:jc w:val="right"/>
              <w:rPr>
                <w:rFonts w:ascii="Calibri" w:hAnsi="Calibri" w:cs="Calibri"/>
                <w:i/>
                <w:iCs/>
                <w:color w:val="000000"/>
                <w:lang w:val="hr-HR" w:eastAsia="hr-HR"/>
              </w:rPr>
            </w:pPr>
            <w:r w:rsidRPr="00811CA8">
              <w:rPr>
                <w:rFonts w:ascii="Calibri" w:hAnsi="Calibri" w:cs="Calibri"/>
                <w:i/>
                <w:iCs/>
                <w:color w:val="000000"/>
                <w:lang w:val="hr-HR" w:eastAsia="hr-HR"/>
              </w:rPr>
              <w:t>1.460.000,00</w:t>
            </w:r>
          </w:p>
        </w:tc>
      </w:tr>
      <w:tr w:rsidR="00811CA8" w:rsidRPr="00811CA8" w14:paraId="31387978" w14:textId="77777777" w:rsidTr="00811CA8">
        <w:trPr>
          <w:trHeight w:val="315"/>
          <w:jc w:val="center"/>
        </w:trPr>
        <w:tc>
          <w:tcPr>
            <w:tcW w:w="5098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noWrap/>
            <w:vAlign w:val="center"/>
            <w:hideMark/>
          </w:tcPr>
          <w:p w14:paraId="4747913D" w14:textId="77777777" w:rsidR="00811CA8" w:rsidRPr="00811CA8" w:rsidRDefault="00811CA8" w:rsidP="00811CA8">
            <w:pPr>
              <w:widowControl/>
              <w:autoSpaceDE/>
              <w:autoSpaceDN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811CA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Prihodi od pomoći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92CDDC"/>
              <w:right w:val="nil"/>
            </w:tcBorders>
            <w:noWrap/>
            <w:vAlign w:val="center"/>
            <w:hideMark/>
          </w:tcPr>
          <w:p w14:paraId="1F9BA5E8" w14:textId="77777777" w:rsidR="00811CA8" w:rsidRPr="00811CA8" w:rsidRDefault="00811CA8" w:rsidP="00811CA8">
            <w:pPr>
              <w:widowControl/>
              <w:autoSpaceDE/>
              <w:autoSpaceDN/>
              <w:jc w:val="right"/>
              <w:rPr>
                <w:rFonts w:ascii="Calibri" w:hAnsi="Calibri" w:cs="Calibri"/>
                <w:i/>
                <w:iCs/>
                <w:color w:val="000000"/>
                <w:lang w:val="hr-HR" w:eastAsia="hr-HR"/>
              </w:rPr>
            </w:pPr>
            <w:r w:rsidRPr="00811CA8">
              <w:rPr>
                <w:rFonts w:ascii="Calibri" w:hAnsi="Calibri" w:cs="Calibri"/>
                <w:i/>
                <w:iCs/>
                <w:color w:val="000000"/>
                <w:lang w:val="hr-HR" w:eastAsia="hr-HR"/>
              </w:rPr>
              <w:t>6.260.829,71</w:t>
            </w:r>
          </w:p>
        </w:tc>
      </w:tr>
      <w:tr w:rsidR="00811CA8" w:rsidRPr="00811CA8" w14:paraId="2D7EB49C" w14:textId="77777777" w:rsidTr="00811CA8">
        <w:trPr>
          <w:trHeight w:val="360"/>
          <w:jc w:val="center"/>
        </w:trPr>
        <w:tc>
          <w:tcPr>
            <w:tcW w:w="5098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noWrap/>
            <w:vAlign w:val="center"/>
            <w:hideMark/>
          </w:tcPr>
          <w:p w14:paraId="5E98AF4F" w14:textId="77777777" w:rsidR="00811CA8" w:rsidRPr="00811CA8" w:rsidRDefault="00811CA8" w:rsidP="00811CA8">
            <w:pPr>
              <w:widowControl/>
              <w:autoSpaceDE/>
              <w:autoSpaceDN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811CA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Prihodi od imovine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92CDDC"/>
              <w:right w:val="nil"/>
            </w:tcBorders>
            <w:noWrap/>
            <w:vAlign w:val="center"/>
            <w:hideMark/>
          </w:tcPr>
          <w:p w14:paraId="228A44D0" w14:textId="77777777" w:rsidR="00811CA8" w:rsidRPr="00811CA8" w:rsidRDefault="00811CA8" w:rsidP="00811CA8">
            <w:pPr>
              <w:widowControl/>
              <w:autoSpaceDE/>
              <w:autoSpaceDN/>
              <w:jc w:val="right"/>
              <w:rPr>
                <w:rFonts w:ascii="Calibri" w:hAnsi="Calibri" w:cs="Calibri"/>
                <w:i/>
                <w:iCs/>
                <w:color w:val="000000"/>
                <w:lang w:val="hr-HR" w:eastAsia="hr-HR"/>
              </w:rPr>
            </w:pPr>
            <w:r w:rsidRPr="00811CA8">
              <w:rPr>
                <w:rFonts w:ascii="Calibri" w:hAnsi="Calibri" w:cs="Calibri"/>
                <w:i/>
                <w:iCs/>
                <w:color w:val="000000"/>
                <w:lang w:val="hr-HR" w:eastAsia="hr-HR"/>
              </w:rPr>
              <w:t>243.526,28</w:t>
            </w:r>
          </w:p>
        </w:tc>
      </w:tr>
      <w:tr w:rsidR="00811CA8" w:rsidRPr="00811CA8" w14:paraId="0B5045B7" w14:textId="77777777" w:rsidTr="00811CA8">
        <w:trPr>
          <w:trHeight w:val="330"/>
          <w:jc w:val="center"/>
        </w:trPr>
        <w:tc>
          <w:tcPr>
            <w:tcW w:w="5098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noWrap/>
            <w:vAlign w:val="center"/>
            <w:hideMark/>
          </w:tcPr>
          <w:p w14:paraId="70E37E5D" w14:textId="77777777" w:rsidR="00811CA8" w:rsidRPr="00811CA8" w:rsidRDefault="00811CA8" w:rsidP="00811CA8">
            <w:pPr>
              <w:widowControl/>
              <w:autoSpaceDE/>
              <w:autoSpaceDN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811CA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Prihodi od pristojbi i naknada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92CDDC"/>
              <w:right w:val="nil"/>
            </w:tcBorders>
            <w:noWrap/>
            <w:vAlign w:val="center"/>
            <w:hideMark/>
          </w:tcPr>
          <w:p w14:paraId="6273B0BE" w14:textId="77777777" w:rsidR="00811CA8" w:rsidRPr="00811CA8" w:rsidRDefault="00811CA8" w:rsidP="00811CA8">
            <w:pPr>
              <w:widowControl/>
              <w:autoSpaceDE/>
              <w:autoSpaceDN/>
              <w:jc w:val="right"/>
              <w:rPr>
                <w:rFonts w:ascii="Calibri" w:hAnsi="Calibri" w:cs="Calibri"/>
                <w:i/>
                <w:iCs/>
                <w:color w:val="000000"/>
                <w:lang w:val="hr-HR" w:eastAsia="hr-HR"/>
              </w:rPr>
            </w:pPr>
            <w:r w:rsidRPr="00811CA8">
              <w:rPr>
                <w:rFonts w:ascii="Calibri" w:hAnsi="Calibri" w:cs="Calibri"/>
                <w:i/>
                <w:iCs/>
                <w:color w:val="000000"/>
                <w:lang w:val="hr-HR" w:eastAsia="hr-HR"/>
              </w:rPr>
              <w:t>397.800,00</w:t>
            </w:r>
          </w:p>
        </w:tc>
      </w:tr>
      <w:tr w:rsidR="00811CA8" w:rsidRPr="00811CA8" w14:paraId="3876199F" w14:textId="77777777" w:rsidTr="00811CA8">
        <w:trPr>
          <w:trHeight w:val="330"/>
          <w:jc w:val="center"/>
        </w:trPr>
        <w:tc>
          <w:tcPr>
            <w:tcW w:w="5098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000000" w:fill="DAEEF3"/>
            <w:noWrap/>
            <w:vAlign w:val="center"/>
            <w:hideMark/>
          </w:tcPr>
          <w:p w14:paraId="218F250B" w14:textId="77777777" w:rsidR="00811CA8" w:rsidRPr="00811CA8" w:rsidRDefault="00811CA8" w:rsidP="00811CA8">
            <w:pPr>
              <w:widowControl/>
              <w:autoSpaceDE/>
              <w:autoSpaceDN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811CA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Prihodi od prodaje proizvoda i robe te pruženih usluga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000000" w:fill="DAEEF3"/>
            <w:noWrap/>
            <w:vAlign w:val="center"/>
            <w:hideMark/>
          </w:tcPr>
          <w:p w14:paraId="0B8CED3E" w14:textId="77777777" w:rsidR="00811CA8" w:rsidRPr="00811CA8" w:rsidRDefault="00811CA8" w:rsidP="00811CA8">
            <w:pPr>
              <w:widowControl/>
              <w:autoSpaceDE/>
              <w:autoSpaceDN/>
              <w:jc w:val="right"/>
              <w:rPr>
                <w:rFonts w:ascii="Calibri" w:hAnsi="Calibri" w:cs="Calibri"/>
                <w:i/>
                <w:iCs/>
                <w:color w:val="000000"/>
                <w:lang w:val="hr-HR" w:eastAsia="hr-HR"/>
              </w:rPr>
            </w:pPr>
            <w:r w:rsidRPr="00811CA8">
              <w:rPr>
                <w:rFonts w:ascii="Calibri" w:hAnsi="Calibri" w:cs="Calibri"/>
                <w:i/>
                <w:iCs/>
                <w:color w:val="000000"/>
                <w:lang w:val="hr-HR" w:eastAsia="hr-HR"/>
              </w:rPr>
              <w:t>87.929,68</w:t>
            </w:r>
          </w:p>
        </w:tc>
      </w:tr>
      <w:tr w:rsidR="00811CA8" w:rsidRPr="00811CA8" w14:paraId="1AE2A5B3" w14:textId="77777777" w:rsidTr="00811CA8">
        <w:trPr>
          <w:trHeight w:val="330"/>
          <w:jc w:val="center"/>
        </w:trPr>
        <w:tc>
          <w:tcPr>
            <w:tcW w:w="5098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noWrap/>
            <w:vAlign w:val="center"/>
            <w:hideMark/>
          </w:tcPr>
          <w:p w14:paraId="25C1C826" w14:textId="77777777" w:rsidR="00811CA8" w:rsidRPr="00811CA8" w:rsidRDefault="00811CA8" w:rsidP="00811CA8">
            <w:pPr>
              <w:widowControl/>
              <w:autoSpaceDE/>
              <w:autoSpaceDN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811CA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Kazne, upravne mjere i ostali prihodi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92CDDC"/>
              <w:right w:val="nil"/>
            </w:tcBorders>
            <w:noWrap/>
            <w:vAlign w:val="center"/>
            <w:hideMark/>
          </w:tcPr>
          <w:p w14:paraId="1628160D" w14:textId="77777777" w:rsidR="00811CA8" w:rsidRPr="00811CA8" w:rsidRDefault="00811CA8" w:rsidP="00811CA8">
            <w:pPr>
              <w:widowControl/>
              <w:autoSpaceDE/>
              <w:autoSpaceDN/>
              <w:jc w:val="right"/>
              <w:rPr>
                <w:rFonts w:ascii="Calibri" w:hAnsi="Calibri" w:cs="Calibri"/>
                <w:i/>
                <w:iCs/>
                <w:color w:val="000000"/>
                <w:lang w:val="hr-HR" w:eastAsia="hr-HR"/>
              </w:rPr>
            </w:pPr>
            <w:r w:rsidRPr="00811CA8">
              <w:rPr>
                <w:rFonts w:ascii="Calibri" w:hAnsi="Calibri" w:cs="Calibri"/>
                <w:i/>
                <w:iCs/>
                <w:color w:val="000000"/>
                <w:lang w:val="hr-HR" w:eastAsia="hr-HR"/>
              </w:rPr>
              <w:t>340,00</w:t>
            </w:r>
          </w:p>
        </w:tc>
      </w:tr>
      <w:tr w:rsidR="00811CA8" w:rsidRPr="00811CA8" w14:paraId="68E18CA6" w14:textId="77777777" w:rsidTr="00811CA8">
        <w:trPr>
          <w:trHeight w:val="330"/>
          <w:jc w:val="center"/>
        </w:trPr>
        <w:tc>
          <w:tcPr>
            <w:tcW w:w="5098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000000" w:fill="DAEEF3"/>
            <w:noWrap/>
            <w:vAlign w:val="center"/>
            <w:hideMark/>
          </w:tcPr>
          <w:p w14:paraId="03FB879E" w14:textId="77777777" w:rsidR="00811CA8" w:rsidRPr="00811CA8" w:rsidRDefault="00811CA8" w:rsidP="00811CA8">
            <w:pPr>
              <w:widowControl/>
              <w:autoSpaceDE/>
              <w:autoSpaceDN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811CA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Prihodi od prodaje nefinancijske imovine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000000" w:fill="DAEEF3"/>
            <w:noWrap/>
            <w:vAlign w:val="center"/>
            <w:hideMark/>
          </w:tcPr>
          <w:p w14:paraId="638E65BA" w14:textId="77777777" w:rsidR="00811CA8" w:rsidRPr="00811CA8" w:rsidRDefault="00811CA8" w:rsidP="00811CA8">
            <w:pPr>
              <w:widowControl/>
              <w:autoSpaceDE/>
              <w:autoSpaceDN/>
              <w:jc w:val="right"/>
              <w:rPr>
                <w:rFonts w:ascii="Calibri" w:hAnsi="Calibri" w:cs="Calibri"/>
                <w:i/>
                <w:iCs/>
                <w:color w:val="000000"/>
                <w:lang w:val="hr-HR" w:eastAsia="hr-HR"/>
              </w:rPr>
            </w:pPr>
            <w:r w:rsidRPr="00811CA8">
              <w:rPr>
                <w:rFonts w:ascii="Calibri" w:hAnsi="Calibri" w:cs="Calibri"/>
                <w:i/>
                <w:iCs/>
                <w:color w:val="000000"/>
                <w:lang w:val="hr-HR" w:eastAsia="hr-HR"/>
              </w:rPr>
              <w:t>269.894,27</w:t>
            </w:r>
          </w:p>
        </w:tc>
      </w:tr>
      <w:tr w:rsidR="00811CA8" w:rsidRPr="00811CA8" w14:paraId="017C8452" w14:textId="77777777" w:rsidTr="00811CA8">
        <w:trPr>
          <w:trHeight w:val="330"/>
          <w:jc w:val="center"/>
        </w:trPr>
        <w:tc>
          <w:tcPr>
            <w:tcW w:w="5098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noWrap/>
            <w:vAlign w:val="center"/>
            <w:hideMark/>
          </w:tcPr>
          <w:p w14:paraId="2FDDB4B7" w14:textId="77777777" w:rsidR="00811CA8" w:rsidRPr="00811CA8" w:rsidRDefault="00811CA8" w:rsidP="00811CA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11CA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92CDDC"/>
              <w:right w:val="nil"/>
            </w:tcBorders>
            <w:noWrap/>
            <w:vAlign w:val="center"/>
            <w:hideMark/>
          </w:tcPr>
          <w:p w14:paraId="676AA659" w14:textId="77777777" w:rsidR="00811CA8" w:rsidRPr="00811CA8" w:rsidRDefault="00811CA8" w:rsidP="00811CA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hr-HR" w:eastAsia="hr-HR"/>
              </w:rPr>
            </w:pPr>
            <w:r w:rsidRPr="00811CA8">
              <w:rPr>
                <w:rFonts w:ascii="Calibri" w:hAnsi="Calibri" w:cs="Calibri"/>
                <w:b/>
                <w:bCs/>
                <w:color w:val="000000"/>
                <w:lang w:val="hr-HR" w:eastAsia="hr-HR"/>
              </w:rPr>
              <w:t>8.720.319,94</w:t>
            </w:r>
          </w:p>
        </w:tc>
      </w:tr>
    </w:tbl>
    <w:p w14:paraId="6E101471" w14:textId="77777777" w:rsidR="00C53756" w:rsidRDefault="00C53756" w:rsidP="00B86A43">
      <w:pPr>
        <w:pStyle w:val="Tijeloteksta"/>
        <w:rPr>
          <w:rFonts w:asciiTheme="minorHAnsi" w:hAnsiTheme="minorHAnsi" w:cstheme="minorHAnsi"/>
          <w:b/>
          <w:sz w:val="26"/>
          <w:lang w:val="hr-HR"/>
        </w:rPr>
      </w:pPr>
    </w:p>
    <w:p w14:paraId="187CECCD" w14:textId="77777777" w:rsidR="00C53756" w:rsidRPr="000D75E5" w:rsidRDefault="00C53756" w:rsidP="000D75E5">
      <w:pPr>
        <w:pStyle w:val="Tijeloteksta"/>
        <w:spacing w:line="276" w:lineRule="auto"/>
        <w:ind w:left="116" w:firstLine="707"/>
        <w:jc w:val="both"/>
        <w:rPr>
          <w:rFonts w:asciiTheme="minorHAnsi" w:hAnsiTheme="minorHAnsi" w:cstheme="minorHAnsi"/>
          <w:lang w:val="hr-HR"/>
        </w:rPr>
      </w:pPr>
    </w:p>
    <w:p w14:paraId="0FEA87F3" w14:textId="77777777" w:rsidR="00064AB0" w:rsidRDefault="00064AB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>
        <w:rPr>
          <w:rFonts w:asciiTheme="minorHAnsi" w:hAnsiTheme="minorHAnsi" w:cstheme="minorHAnsi"/>
          <w:b/>
          <w:lang w:val="hr-HR"/>
        </w:rPr>
        <w:br w:type="page"/>
      </w:r>
    </w:p>
    <w:p w14:paraId="46759DB5" w14:textId="7820730C" w:rsidR="00A6299C" w:rsidRDefault="004F357B" w:rsidP="00B86A43">
      <w:pPr>
        <w:pStyle w:val="Tijeloteksta"/>
        <w:rPr>
          <w:rFonts w:asciiTheme="minorHAnsi" w:hAnsiTheme="minorHAnsi" w:cstheme="minorHAnsi"/>
          <w:b/>
          <w:lang w:val="hr-HR"/>
        </w:rPr>
      </w:pPr>
      <w:r w:rsidRPr="004F357B">
        <w:rPr>
          <w:rFonts w:asciiTheme="minorHAnsi" w:hAnsiTheme="minorHAnsi" w:cstheme="minorHAnsi"/>
          <w:b/>
          <w:lang w:val="hr-HR"/>
        </w:rPr>
        <w:lastRenderedPageBreak/>
        <w:t>Udjeli prihoda u ukupnim priho</w:t>
      </w:r>
      <w:r>
        <w:rPr>
          <w:rFonts w:asciiTheme="minorHAnsi" w:hAnsiTheme="minorHAnsi" w:cstheme="minorHAnsi"/>
          <w:b/>
          <w:lang w:val="hr-HR"/>
        </w:rPr>
        <w:t>d</w:t>
      </w:r>
      <w:r w:rsidRPr="004F357B">
        <w:rPr>
          <w:rFonts w:asciiTheme="minorHAnsi" w:hAnsiTheme="minorHAnsi" w:cstheme="minorHAnsi"/>
          <w:b/>
          <w:lang w:val="hr-HR"/>
        </w:rPr>
        <w:t>ima</w:t>
      </w:r>
      <w:r>
        <w:rPr>
          <w:rFonts w:asciiTheme="minorHAnsi" w:hAnsiTheme="minorHAnsi" w:cstheme="minorHAnsi"/>
          <w:b/>
          <w:lang w:val="hr-HR"/>
        </w:rPr>
        <w:t xml:space="preserve"> </w:t>
      </w:r>
      <w:r w:rsidRPr="004F357B">
        <w:rPr>
          <w:rFonts w:asciiTheme="minorHAnsi" w:hAnsiTheme="minorHAnsi" w:cstheme="minorHAnsi"/>
          <w:b/>
          <w:lang w:val="hr-HR"/>
        </w:rPr>
        <w:t>i ra</w:t>
      </w:r>
      <w:r>
        <w:rPr>
          <w:rFonts w:asciiTheme="minorHAnsi" w:hAnsiTheme="minorHAnsi" w:cstheme="minorHAnsi"/>
          <w:b/>
          <w:lang w:val="hr-HR"/>
        </w:rPr>
        <w:t>s</w:t>
      </w:r>
      <w:r w:rsidRPr="004F357B">
        <w:rPr>
          <w:rFonts w:asciiTheme="minorHAnsi" w:hAnsiTheme="minorHAnsi" w:cstheme="minorHAnsi"/>
          <w:b/>
          <w:lang w:val="hr-HR"/>
        </w:rPr>
        <w:t>hoda u ukupni rashodima</w:t>
      </w:r>
    </w:p>
    <w:p w14:paraId="5A0EF972" w14:textId="77777777" w:rsidR="00A7743C" w:rsidRDefault="00A7743C" w:rsidP="00B86A43">
      <w:pPr>
        <w:pStyle w:val="Tijeloteksta"/>
        <w:rPr>
          <w:rFonts w:asciiTheme="minorHAnsi" w:hAnsiTheme="minorHAnsi" w:cstheme="minorHAnsi"/>
          <w:b/>
          <w:lang w:val="hr-HR"/>
        </w:rPr>
      </w:pPr>
    </w:p>
    <w:p w14:paraId="292FF735" w14:textId="214B80FD" w:rsidR="004F357B" w:rsidRPr="004F357B" w:rsidRDefault="00811CA8" w:rsidP="00B86A43">
      <w:pPr>
        <w:pStyle w:val="Tijeloteksta"/>
        <w:rPr>
          <w:rFonts w:asciiTheme="minorHAnsi" w:hAnsiTheme="minorHAnsi" w:cstheme="minorHAnsi"/>
          <w:b/>
          <w:lang w:val="hr-HR"/>
        </w:rPr>
      </w:pPr>
      <w:r>
        <w:rPr>
          <w:noProof/>
        </w:rPr>
        <w:drawing>
          <wp:inline distT="0" distB="0" distL="0" distR="0" wp14:anchorId="39D1AC44" wp14:editId="3613A56E">
            <wp:extent cx="3028950" cy="2390775"/>
            <wp:effectExtent l="0" t="0" r="0" b="9525"/>
            <wp:docPr id="1789635559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A3873EDE-4768-42E4-2719-865DAB4BB6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43486A" w:rsidRPr="0043486A">
        <w:rPr>
          <w:noProof/>
        </w:rPr>
        <w:t xml:space="preserve"> </w:t>
      </w:r>
      <w:r>
        <w:rPr>
          <w:noProof/>
        </w:rPr>
        <w:drawing>
          <wp:inline distT="0" distB="0" distL="0" distR="0" wp14:anchorId="68A01AFC" wp14:editId="22D20C5C">
            <wp:extent cx="2847975" cy="2390775"/>
            <wp:effectExtent l="0" t="0" r="9525" b="9525"/>
            <wp:docPr id="1378274569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CB86CB2D-0B25-77A4-9B12-A8E1EA8229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02B668D" w14:textId="4D947DE1" w:rsidR="00F700FF" w:rsidRPr="004F357B" w:rsidRDefault="00F700FF" w:rsidP="00B86A43">
      <w:pPr>
        <w:pStyle w:val="Tijeloteksta"/>
        <w:rPr>
          <w:rFonts w:asciiTheme="minorHAnsi" w:hAnsiTheme="minorHAnsi" w:cstheme="minorHAnsi"/>
          <w:sz w:val="20"/>
          <w:lang w:val="hr-HR"/>
        </w:rPr>
      </w:pPr>
    </w:p>
    <w:p w14:paraId="0111B4B5" w14:textId="77777777" w:rsidR="00A6299C" w:rsidRPr="004F357B" w:rsidRDefault="00A6299C" w:rsidP="00B86A43">
      <w:pPr>
        <w:pStyle w:val="Tijeloteksta"/>
        <w:spacing w:before="8"/>
        <w:rPr>
          <w:rFonts w:asciiTheme="minorHAnsi" w:hAnsiTheme="minorHAnsi" w:cstheme="minorHAnsi"/>
          <w:sz w:val="19"/>
          <w:lang w:val="hr-HR"/>
        </w:rPr>
      </w:pPr>
    </w:p>
    <w:p w14:paraId="1F4E4206" w14:textId="06CD53A4" w:rsidR="00A6299C" w:rsidRPr="004F357B" w:rsidRDefault="00E810B3" w:rsidP="00B86A43">
      <w:pPr>
        <w:pStyle w:val="Tijeloteksta"/>
        <w:spacing w:before="90" w:line="276" w:lineRule="auto"/>
        <w:ind w:left="116" w:firstLine="707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Rashodi poslovanja za 202</w:t>
      </w:r>
      <w:r w:rsidR="00811CA8">
        <w:rPr>
          <w:rFonts w:asciiTheme="minorHAnsi" w:hAnsiTheme="minorHAnsi" w:cstheme="minorHAnsi"/>
          <w:lang w:val="hr-HR"/>
        </w:rPr>
        <w:t>6</w:t>
      </w:r>
      <w:r w:rsidRPr="004F357B">
        <w:rPr>
          <w:rFonts w:asciiTheme="minorHAnsi" w:hAnsiTheme="minorHAnsi" w:cstheme="minorHAnsi"/>
          <w:lang w:val="hr-HR"/>
        </w:rPr>
        <w:t xml:space="preserve">. godinu iznose </w:t>
      </w:r>
      <w:r w:rsidR="00811CA8">
        <w:rPr>
          <w:rFonts w:asciiTheme="minorHAnsi" w:hAnsiTheme="minorHAnsi" w:cstheme="minorHAnsi"/>
          <w:lang w:val="hr-HR"/>
        </w:rPr>
        <w:t>8</w:t>
      </w:r>
      <w:r w:rsidR="00136408">
        <w:rPr>
          <w:rFonts w:asciiTheme="minorHAnsi" w:hAnsiTheme="minorHAnsi" w:cstheme="minorHAnsi"/>
          <w:lang w:val="hr-HR"/>
        </w:rPr>
        <w:t>.</w:t>
      </w:r>
      <w:r w:rsidR="00811CA8">
        <w:rPr>
          <w:rFonts w:asciiTheme="minorHAnsi" w:hAnsiTheme="minorHAnsi" w:cstheme="minorHAnsi"/>
          <w:lang w:val="hr-HR"/>
        </w:rPr>
        <w:t>981</w:t>
      </w:r>
      <w:r w:rsidR="00136408">
        <w:rPr>
          <w:rFonts w:asciiTheme="minorHAnsi" w:hAnsiTheme="minorHAnsi" w:cstheme="minorHAnsi"/>
          <w:lang w:val="hr-HR"/>
        </w:rPr>
        <w:t>.</w:t>
      </w:r>
      <w:r w:rsidR="00811CA8">
        <w:rPr>
          <w:rFonts w:asciiTheme="minorHAnsi" w:hAnsiTheme="minorHAnsi" w:cstheme="minorHAnsi"/>
          <w:lang w:val="hr-HR"/>
        </w:rPr>
        <w:t>830</w:t>
      </w:r>
      <w:r w:rsidR="00136408">
        <w:rPr>
          <w:rFonts w:asciiTheme="minorHAnsi" w:hAnsiTheme="minorHAnsi" w:cstheme="minorHAnsi"/>
          <w:lang w:val="hr-HR"/>
        </w:rPr>
        <w:t>,</w:t>
      </w:r>
      <w:r w:rsidR="00811CA8">
        <w:rPr>
          <w:rFonts w:asciiTheme="minorHAnsi" w:hAnsiTheme="minorHAnsi" w:cstheme="minorHAnsi"/>
          <w:lang w:val="hr-HR"/>
        </w:rPr>
        <w:t>39</w:t>
      </w:r>
      <w:r w:rsidR="00136408">
        <w:rPr>
          <w:rFonts w:asciiTheme="minorHAnsi" w:hAnsiTheme="minorHAnsi" w:cstheme="minorHAnsi"/>
          <w:lang w:val="hr-HR"/>
        </w:rPr>
        <w:t xml:space="preserve"> EUR </w:t>
      </w:r>
      <w:r w:rsidRPr="004F357B">
        <w:rPr>
          <w:rFonts w:asciiTheme="minorHAnsi" w:hAnsiTheme="minorHAnsi" w:cstheme="minorHAnsi"/>
          <w:lang w:val="hr-HR"/>
        </w:rPr>
        <w:t xml:space="preserve">što čini </w:t>
      </w:r>
      <w:r w:rsidR="00811CA8">
        <w:rPr>
          <w:rFonts w:asciiTheme="minorHAnsi" w:hAnsiTheme="minorHAnsi" w:cstheme="minorHAnsi"/>
          <w:lang w:val="hr-HR"/>
        </w:rPr>
        <w:t>46</w:t>
      </w:r>
      <w:r w:rsidR="00136408">
        <w:rPr>
          <w:rFonts w:asciiTheme="minorHAnsi" w:hAnsiTheme="minorHAnsi" w:cstheme="minorHAnsi"/>
          <w:lang w:val="hr-HR"/>
        </w:rPr>
        <w:t>,</w:t>
      </w:r>
      <w:r w:rsidR="00811CA8">
        <w:rPr>
          <w:rFonts w:asciiTheme="minorHAnsi" w:hAnsiTheme="minorHAnsi" w:cstheme="minorHAnsi"/>
          <w:lang w:val="hr-HR"/>
        </w:rPr>
        <w:t>75</w:t>
      </w:r>
      <w:r w:rsidRPr="004F357B">
        <w:rPr>
          <w:rFonts w:asciiTheme="minorHAnsi" w:hAnsiTheme="minorHAnsi" w:cstheme="minorHAnsi"/>
          <w:lang w:val="hr-HR"/>
        </w:rPr>
        <w:t xml:space="preserve">% ukupnih rashoda. </w:t>
      </w:r>
      <w:r w:rsidR="00CD02AB" w:rsidRPr="004F357B">
        <w:rPr>
          <w:rFonts w:asciiTheme="minorHAnsi" w:hAnsiTheme="minorHAnsi" w:cstheme="minorHAnsi"/>
          <w:lang w:val="hr-HR"/>
        </w:rPr>
        <w:t>S</w:t>
      </w:r>
      <w:r w:rsidRPr="004F357B">
        <w:rPr>
          <w:rFonts w:asciiTheme="minorHAnsi" w:hAnsiTheme="minorHAnsi" w:cstheme="minorHAnsi"/>
          <w:lang w:val="hr-HR"/>
        </w:rPr>
        <w:t>astoje se od rashoda za zaposlene u jedinstvenom upravnom odjelu (djelatnici općine</w:t>
      </w:r>
      <w:r w:rsidR="00CD02AB" w:rsidRPr="004F357B">
        <w:rPr>
          <w:rFonts w:asciiTheme="minorHAnsi" w:hAnsiTheme="minorHAnsi" w:cstheme="minorHAnsi"/>
          <w:lang w:val="hr-HR"/>
        </w:rPr>
        <w:t xml:space="preserve"> i komunalnog pogona</w:t>
      </w:r>
      <w:r w:rsidRPr="004F357B">
        <w:rPr>
          <w:rFonts w:asciiTheme="minorHAnsi" w:hAnsiTheme="minorHAnsi" w:cstheme="minorHAnsi"/>
          <w:lang w:val="hr-HR"/>
        </w:rPr>
        <w:t xml:space="preserve">, </w:t>
      </w:r>
      <w:r w:rsidR="00CD02AB" w:rsidRPr="004F357B">
        <w:rPr>
          <w:rFonts w:asciiTheme="minorHAnsi" w:hAnsiTheme="minorHAnsi" w:cstheme="minorHAnsi"/>
          <w:lang w:val="hr-HR"/>
        </w:rPr>
        <w:t>na</w:t>
      </w:r>
      <w:r w:rsidR="009331E2">
        <w:rPr>
          <w:rFonts w:asciiTheme="minorHAnsi" w:hAnsiTheme="minorHAnsi" w:cstheme="minorHAnsi"/>
          <w:lang w:val="hr-HR"/>
        </w:rPr>
        <w:t>čelnici i zamjenici načelnika,</w:t>
      </w:r>
      <w:r w:rsidR="00CD02AB" w:rsidRPr="004F357B">
        <w:rPr>
          <w:rFonts w:asciiTheme="minorHAnsi" w:hAnsiTheme="minorHAnsi" w:cstheme="minorHAnsi"/>
          <w:lang w:val="hr-HR"/>
        </w:rPr>
        <w:t xml:space="preserve"> DV Radost, </w:t>
      </w:r>
      <w:r w:rsidRPr="004F357B">
        <w:rPr>
          <w:rFonts w:asciiTheme="minorHAnsi" w:hAnsiTheme="minorHAnsi" w:cstheme="minorHAnsi"/>
          <w:lang w:val="hr-HR"/>
        </w:rPr>
        <w:t xml:space="preserve">programa </w:t>
      </w:r>
      <w:r w:rsidR="00CD02AB" w:rsidRPr="004F357B">
        <w:rPr>
          <w:rFonts w:asciiTheme="minorHAnsi" w:hAnsiTheme="minorHAnsi" w:cstheme="minorHAnsi"/>
          <w:lang w:val="hr-HR"/>
        </w:rPr>
        <w:t>Zaželi</w:t>
      </w:r>
      <w:r w:rsidRPr="004F357B">
        <w:rPr>
          <w:rFonts w:asciiTheme="minorHAnsi" w:hAnsiTheme="minorHAnsi" w:cstheme="minorHAnsi"/>
          <w:lang w:val="hr-HR"/>
        </w:rPr>
        <w:t xml:space="preserve">, javni radovi, </w:t>
      </w:r>
      <w:r w:rsidR="00CD02AB" w:rsidRPr="004F357B">
        <w:rPr>
          <w:rFonts w:asciiTheme="minorHAnsi" w:hAnsiTheme="minorHAnsi" w:cstheme="minorHAnsi"/>
          <w:lang w:val="hr-HR"/>
        </w:rPr>
        <w:t xml:space="preserve"> </w:t>
      </w:r>
      <w:r w:rsidRPr="004F357B">
        <w:rPr>
          <w:rFonts w:asciiTheme="minorHAnsi" w:hAnsiTheme="minorHAnsi" w:cstheme="minorHAnsi"/>
          <w:lang w:val="hr-HR"/>
        </w:rPr>
        <w:t>i dr.)</w:t>
      </w:r>
      <w:r w:rsidR="00CD02AB" w:rsidRPr="004F357B">
        <w:rPr>
          <w:rFonts w:asciiTheme="minorHAnsi" w:hAnsiTheme="minorHAnsi" w:cstheme="minorHAnsi"/>
          <w:lang w:val="hr-HR"/>
        </w:rPr>
        <w:t>,</w:t>
      </w:r>
      <w:r w:rsidRPr="004F357B">
        <w:rPr>
          <w:rFonts w:asciiTheme="minorHAnsi" w:hAnsiTheme="minorHAnsi" w:cstheme="minorHAnsi"/>
          <w:lang w:val="hr-HR"/>
        </w:rPr>
        <w:t xml:space="preserve"> materijalni i financijski rashodi općine i proračunskih korisnika ( troškovi tekućeg i investicijskog održavanja, energije, komunalne usluge, održavanje javnih površina, javne rasvjete i slično), </w:t>
      </w:r>
      <w:r w:rsidR="00CD02AB" w:rsidRPr="004F357B">
        <w:rPr>
          <w:rFonts w:asciiTheme="minorHAnsi" w:hAnsiTheme="minorHAnsi" w:cstheme="minorHAnsi"/>
          <w:lang w:val="hr-HR"/>
        </w:rPr>
        <w:t>financijski rashodi, subvencije trgovačkim društvima na kupovinu placeva u poslovnoj zoni, naknade građanima i kućanstvima, ostali rashodi (tekuće donacije, kapitalne pomoći poljoprivrednicima i obrtnicima).</w:t>
      </w:r>
    </w:p>
    <w:p w14:paraId="1847917D" w14:textId="39019B0A" w:rsidR="00A6299C" w:rsidRDefault="00E810B3" w:rsidP="00B86A43">
      <w:pPr>
        <w:pStyle w:val="Tijeloteksta"/>
        <w:spacing w:before="2" w:line="276" w:lineRule="auto"/>
        <w:ind w:left="116" w:firstLine="707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U rashode proračuna ulaze i rashodi za nabavu nefinancijske imovine (</w:t>
      </w:r>
      <w:r w:rsidR="004702AC">
        <w:rPr>
          <w:rFonts w:asciiTheme="minorHAnsi" w:hAnsiTheme="minorHAnsi" w:cstheme="minorHAnsi"/>
          <w:lang w:val="hr-HR"/>
        </w:rPr>
        <w:t>projekti prethodno navedeni i oni iz odluke o proračunu</w:t>
      </w:r>
      <w:r w:rsidR="00F70243">
        <w:rPr>
          <w:rFonts w:asciiTheme="minorHAnsi" w:hAnsiTheme="minorHAnsi" w:cstheme="minorHAnsi"/>
          <w:lang w:val="hr-HR"/>
        </w:rPr>
        <w:t>) koji za 202</w:t>
      </w:r>
      <w:r w:rsidR="004702AC">
        <w:rPr>
          <w:rFonts w:asciiTheme="minorHAnsi" w:hAnsiTheme="minorHAnsi" w:cstheme="minorHAnsi"/>
          <w:lang w:val="hr-HR"/>
        </w:rPr>
        <w:t>6</w:t>
      </w:r>
      <w:r w:rsidRPr="004F357B">
        <w:rPr>
          <w:rFonts w:asciiTheme="minorHAnsi" w:hAnsiTheme="minorHAnsi" w:cstheme="minorHAnsi"/>
          <w:lang w:val="hr-HR"/>
        </w:rPr>
        <w:t xml:space="preserve">. godinu iznose </w:t>
      </w:r>
      <w:r w:rsidR="004702AC">
        <w:rPr>
          <w:rFonts w:asciiTheme="minorHAnsi" w:hAnsiTheme="minorHAnsi" w:cstheme="minorHAnsi"/>
          <w:lang w:val="hr-HR"/>
        </w:rPr>
        <w:t>52</w:t>
      </w:r>
      <w:r w:rsidR="001A7EED">
        <w:rPr>
          <w:rFonts w:asciiTheme="minorHAnsi" w:hAnsiTheme="minorHAnsi" w:cstheme="minorHAnsi"/>
          <w:lang w:val="hr-HR"/>
        </w:rPr>
        <w:t>,</w:t>
      </w:r>
      <w:r w:rsidR="004702AC">
        <w:rPr>
          <w:rFonts w:asciiTheme="minorHAnsi" w:hAnsiTheme="minorHAnsi" w:cstheme="minorHAnsi"/>
          <w:lang w:val="hr-HR"/>
        </w:rPr>
        <w:t>98</w:t>
      </w:r>
      <w:r w:rsidRPr="004F357B">
        <w:rPr>
          <w:rFonts w:asciiTheme="minorHAnsi" w:hAnsiTheme="minorHAnsi" w:cstheme="minorHAnsi"/>
          <w:lang w:val="hr-HR"/>
        </w:rPr>
        <w:t>% ukupnih rashoda.</w:t>
      </w:r>
    </w:p>
    <w:p w14:paraId="079A4160" w14:textId="74BAEED1" w:rsidR="00136408" w:rsidRPr="004F357B" w:rsidRDefault="00136408" w:rsidP="00B86A43">
      <w:pPr>
        <w:pStyle w:val="Tijeloteksta"/>
        <w:spacing w:before="2" w:line="276" w:lineRule="auto"/>
        <w:ind w:left="116" w:firstLine="707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Uz navedene rashode u 202</w:t>
      </w:r>
      <w:r w:rsidR="004702AC">
        <w:rPr>
          <w:rFonts w:asciiTheme="minorHAnsi" w:hAnsiTheme="minorHAnsi" w:cstheme="minorHAnsi"/>
          <w:lang w:val="hr-HR"/>
        </w:rPr>
        <w:t>6</w:t>
      </w:r>
      <w:r>
        <w:rPr>
          <w:rFonts w:asciiTheme="minorHAnsi" w:hAnsiTheme="minorHAnsi" w:cstheme="minorHAnsi"/>
          <w:lang w:val="hr-HR"/>
        </w:rPr>
        <w:t xml:space="preserve">. godini su planirani i izdaci u iznosu </w:t>
      </w:r>
      <w:r w:rsidR="004702AC">
        <w:rPr>
          <w:rFonts w:asciiTheme="minorHAnsi" w:hAnsiTheme="minorHAnsi" w:cstheme="minorHAnsi"/>
          <w:lang w:val="hr-HR"/>
        </w:rPr>
        <w:t>23</w:t>
      </w:r>
      <w:r>
        <w:rPr>
          <w:rFonts w:asciiTheme="minorHAnsi" w:hAnsiTheme="minorHAnsi" w:cstheme="minorHAnsi"/>
          <w:lang w:val="hr-HR"/>
        </w:rPr>
        <w:t>.</w:t>
      </w:r>
      <w:r w:rsidR="004702AC">
        <w:rPr>
          <w:rFonts w:asciiTheme="minorHAnsi" w:hAnsiTheme="minorHAnsi" w:cstheme="minorHAnsi"/>
          <w:lang w:val="hr-HR"/>
        </w:rPr>
        <w:t>650</w:t>
      </w:r>
      <w:r>
        <w:rPr>
          <w:rFonts w:asciiTheme="minorHAnsi" w:hAnsiTheme="minorHAnsi" w:cstheme="minorHAnsi"/>
          <w:lang w:val="hr-HR"/>
        </w:rPr>
        <w:t>,</w:t>
      </w:r>
      <w:r w:rsidR="004702AC">
        <w:rPr>
          <w:rFonts w:asciiTheme="minorHAnsi" w:hAnsiTheme="minorHAnsi" w:cstheme="minorHAnsi"/>
          <w:lang w:val="hr-HR"/>
        </w:rPr>
        <w:t>15</w:t>
      </w:r>
      <w:r>
        <w:rPr>
          <w:rFonts w:asciiTheme="minorHAnsi" w:hAnsiTheme="minorHAnsi" w:cstheme="minorHAnsi"/>
          <w:lang w:val="hr-HR"/>
        </w:rPr>
        <w:t xml:space="preserve"> EUR koji se odnose na izdatke za povrat leasinga za nabavljen</w:t>
      </w:r>
      <w:r w:rsidR="004702AC">
        <w:rPr>
          <w:rFonts w:asciiTheme="minorHAnsi" w:hAnsiTheme="minorHAnsi" w:cstheme="minorHAnsi"/>
          <w:lang w:val="hr-HR"/>
        </w:rPr>
        <w:t>e</w:t>
      </w:r>
      <w:r>
        <w:rPr>
          <w:rFonts w:asciiTheme="minorHAnsi" w:hAnsiTheme="minorHAnsi" w:cstheme="minorHAnsi"/>
          <w:lang w:val="hr-HR"/>
        </w:rPr>
        <w:t xml:space="preserve"> stroj</w:t>
      </w:r>
      <w:r w:rsidR="004702AC">
        <w:rPr>
          <w:rFonts w:asciiTheme="minorHAnsi" w:hAnsiTheme="minorHAnsi" w:cstheme="minorHAnsi"/>
          <w:lang w:val="hr-HR"/>
        </w:rPr>
        <w:t>eve</w:t>
      </w:r>
      <w:r>
        <w:rPr>
          <w:rFonts w:asciiTheme="minorHAnsi" w:hAnsiTheme="minorHAnsi" w:cstheme="minorHAnsi"/>
          <w:lang w:val="hr-HR"/>
        </w:rPr>
        <w:t>.</w:t>
      </w:r>
    </w:p>
    <w:p w14:paraId="0CA514F5" w14:textId="51FF260C" w:rsidR="00EE64F0" w:rsidRDefault="00136408" w:rsidP="00B86A43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ab/>
      </w:r>
    </w:p>
    <w:p w14:paraId="33FEA50F" w14:textId="16B71646" w:rsidR="00136408" w:rsidRDefault="00136408" w:rsidP="004F357B">
      <w:pPr>
        <w:pStyle w:val="Tijeloteksta"/>
        <w:spacing w:before="2" w:line="276" w:lineRule="auto"/>
        <w:ind w:left="116" w:firstLine="707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Ukupni prihodi i primici za 202</w:t>
      </w:r>
      <w:r w:rsidR="004702AC">
        <w:rPr>
          <w:rFonts w:asciiTheme="minorHAnsi" w:hAnsiTheme="minorHAnsi" w:cstheme="minorHAnsi"/>
          <w:lang w:val="hr-HR"/>
        </w:rPr>
        <w:t>6</w:t>
      </w:r>
      <w:r>
        <w:rPr>
          <w:rFonts w:asciiTheme="minorHAnsi" w:hAnsiTheme="minorHAnsi" w:cstheme="minorHAnsi"/>
          <w:lang w:val="hr-HR"/>
        </w:rPr>
        <w:t xml:space="preserve">. godinu </w:t>
      </w:r>
      <w:r w:rsidR="000D75E5">
        <w:rPr>
          <w:rFonts w:asciiTheme="minorHAnsi" w:hAnsiTheme="minorHAnsi" w:cstheme="minorHAnsi"/>
          <w:lang w:val="hr-HR"/>
        </w:rPr>
        <w:t xml:space="preserve">se planiraju </w:t>
      </w:r>
      <w:r w:rsidR="004702AC">
        <w:rPr>
          <w:rFonts w:asciiTheme="minorHAnsi" w:hAnsiTheme="minorHAnsi" w:cstheme="minorHAnsi"/>
          <w:lang w:val="hr-HR"/>
        </w:rPr>
        <w:t>8</w:t>
      </w:r>
      <w:r>
        <w:rPr>
          <w:rFonts w:asciiTheme="minorHAnsi" w:hAnsiTheme="minorHAnsi" w:cstheme="minorHAnsi"/>
          <w:lang w:val="hr-HR"/>
        </w:rPr>
        <w:t>.</w:t>
      </w:r>
      <w:r w:rsidR="004702AC">
        <w:rPr>
          <w:rFonts w:asciiTheme="minorHAnsi" w:hAnsiTheme="minorHAnsi" w:cstheme="minorHAnsi"/>
          <w:lang w:val="hr-HR"/>
        </w:rPr>
        <w:t>981</w:t>
      </w:r>
      <w:r>
        <w:rPr>
          <w:rFonts w:asciiTheme="minorHAnsi" w:hAnsiTheme="minorHAnsi" w:cstheme="minorHAnsi"/>
          <w:lang w:val="hr-HR"/>
        </w:rPr>
        <w:t>.</w:t>
      </w:r>
      <w:r w:rsidR="004702AC">
        <w:rPr>
          <w:rFonts w:asciiTheme="minorHAnsi" w:hAnsiTheme="minorHAnsi" w:cstheme="minorHAnsi"/>
          <w:lang w:val="hr-HR"/>
        </w:rPr>
        <w:t>830</w:t>
      </w:r>
      <w:r>
        <w:rPr>
          <w:rFonts w:asciiTheme="minorHAnsi" w:hAnsiTheme="minorHAnsi" w:cstheme="minorHAnsi"/>
          <w:lang w:val="hr-HR"/>
        </w:rPr>
        <w:t>,</w:t>
      </w:r>
      <w:r w:rsidR="004702AC">
        <w:rPr>
          <w:rFonts w:asciiTheme="minorHAnsi" w:hAnsiTheme="minorHAnsi" w:cstheme="minorHAnsi"/>
          <w:lang w:val="hr-HR"/>
        </w:rPr>
        <w:t>39</w:t>
      </w:r>
      <w:r w:rsidR="000D75E5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lang w:val="hr-HR"/>
        </w:rPr>
        <w:t xml:space="preserve">EUR, dok prihodi poslovanja čine </w:t>
      </w:r>
      <w:r w:rsidR="004702AC">
        <w:rPr>
          <w:rFonts w:asciiTheme="minorHAnsi" w:hAnsiTheme="minorHAnsi" w:cstheme="minorHAnsi"/>
          <w:lang w:val="hr-HR"/>
        </w:rPr>
        <w:t>95</w:t>
      </w:r>
      <w:r w:rsidR="00537E8C">
        <w:rPr>
          <w:rFonts w:asciiTheme="minorHAnsi" w:hAnsiTheme="minorHAnsi" w:cstheme="minorHAnsi"/>
          <w:lang w:val="hr-HR"/>
        </w:rPr>
        <w:t>,</w:t>
      </w:r>
      <w:r w:rsidR="004702AC">
        <w:rPr>
          <w:rFonts w:asciiTheme="minorHAnsi" w:hAnsiTheme="minorHAnsi" w:cstheme="minorHAnsi"/>
          <w:lang w:val="hr-HR"/>
        </w:rPr>
        <w:t>95</w:t>
      </w:r>
      <w:r>
        <w:rPr>
          <w:rFonts w:asciiTheme="minorHAnsi" w:hAnsiTheme="minorHAnsi" w:cstheme="minorHAnsi"/>
          <w:lang w:val="hr-HR"/>
        </w:rPr>
        <w:t xml:space="preserve">% ukupnih prihoda i primitaka, a prihodi za nabavu nefinancijske imovine čine </w:t>
      </w:r>
      <w:r w:rsidR="004702AC">
        <w:rPr>
          <w:rFonts w:asciiTheme="minorHAnsi" w:hAnsiTheme="minorHAnsi" w:cstheme="minorHAnsi"/>
          <w:lang w:val="hr-HR"/>
        </w:rPr>
        <w:t>3</w:t>
      </w:r>
      <w:r w:rsidR="00537E8C">
        <w:rPr>
          <w:rFonts w:asciiTheme="minorHAnsi" w:hAnsiTheme="minorHAnsi" w:cstheme="minorHAnsi"/>
          <w:lang w:val="hr-HR"/>
        </w:rPr>
        <w:t>,</w:t>
      </w:r>
      <w:r w:rsidR="004702AC">
        <w:rPr>
          <w:rFonts w:asciiTheme="minorHAnsi" w:hAnsiTheme="minorHAnsi" w:cstheme="minorHAnsi"/>
          <w:lang w:val="hr-HR"/>
        </w:rPr>
        <w:t>00</w:t>
      </w:r>
      <w:r>
        <w:rPr>
          <w:rFonts w:asciiTheme="minorHAnsi" w:hAnsiTheme="minorHAnsi" w:cstheme="minorHAnsi"/>
          <w:lang w:val="hr-HR"/>
        </w:rPr>
        <w:t>% od ukupnih prihoda i primitaka.</w:t>
      </w:r>
    </w:p>
    <w:p w14:paraId="3421C11A" w14:textId="79F344AA" w:rsidR="00C63EA4" w:rsidRPr="004F357B" w:rsidRDefault="00C63EA4" w:rsidP="004F357B">
      <w:pPr>
        <w:pStyle w:val="Tijeloteksta"/>
        <w:spacing w:before="2" w:line="276" w:lineRule="auto"/>
        <w:ind w:left="116" w:firstLine="707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 xml:space="preserve">Prihodi od pomoći države i iz inozemstva čine najveći dio, odnosno </w:t>
      </w:r>
      <w:r w:rsidR="004702AC">
        <w:rPr>
          <w:rFonts w:asciiTheme="minorHAnsi" w:hAnsiTheme="minorHAnsi" w:cstheme="minorHAnsi"/>
          <w:lang w:val="hr-HR"/>
        </w:rPr>
        <w:t>69</w:t>
      </w:r>
      <w:r w:rsidR="00136408">
        <w:rPr>
          <w:rFonts w:asciiTheme="minorHAnsi" w:hAnsiTheme="minorHAnsi" w:cstheme="minorHAnsi"/>
          <w:lang w:val="hr-HR"/>
        </w:rPr>
        <w:t>,</w:t>
      </w:r>
      <w:r w:rsidR="004702AC">
        <w:rPr>
          <w:rFonts w:asciiTheme="minorHAnsi" w:hAnsiTheme="minorHAnsi" w:cstheme="minorHAnsi"/>
          <w:lang w:val="hr-HR"/>
        </w:rPr>
        <w:t>71</w:t>
      </w:r>
      <w:r w:rsidRPr="004F357B">
        <w:rPr>
          <w:rFonts w:asciiTheme="minorHAnsi" w:hAnsiTheme="minorHAnsi" w:cstheme="minorHAnsi"/>
          <w:lang w:val="hr-HR"/>
        </w:rPr>
        <w:t>%, prihoda proračuna Općine Darda i odnose se na pomoći iz raznih ministarstava i EU za financiranje nefinancijske imovine</w:t>
      </w:r>
      <w:r w:rsidR="009331E2">
        <w:rPr>
          <w:rFonts w:asciiTheme="minorHAnsi" w:hAnsiTheme="minorHAnsi" w:cstheme="minorHAnsi"/>
          <w:lang w:val="hr-HR"/>
        </w:rPr>
        <w:t>, te prihod od fiskalnog izravnavanja kao nenamjenski prihodi tekućih pomoći iz državnog proračuna</w:t>
      </w:r>
      <w:r w:rsidRPr="004F357B">
        <w:rPr>
          <w:rFonts w:asciiTheme="minorHAnsi" w:hAnsiTheme="minorHAnsi" w:cstheme="minorHAnsi"/>
          <w:lang w:val="hr-HR"/>
        </w:rPr>
        <w:t>.</w:t>
      </w:r>
    </w:p>
    <w:p w14:paraId="0DF9C639" w14:textId="77777777" w:rsidR="00C63EA4" w:rsidRPr="004F357B" w:rsidRDefault="00C63EA4" w:rsidP="004F357B">
      <w:pPr>
        <w:pStyle w:val="Tijeloteksta"/>
        <w:spacing w:before="2" w:line="276" w:lineRule="auto"/>
        <w:ind w:left="116" w:firstLine="707"/>
        <w:jc w:val="both"/>
        <w:rPr>
          <w:rFonts w:asciiTheme="minorHAnsi" w:hAnsiTheme="minorHAnsi" w:cstheme="minorHAnsi"/>
          <w:lang w:val="hr-HR"/>
        </w:rPr>
        <w:sectPr w:rsidR="00C63EA4" w:rsidRPr="004F357B" w:rsidSect="00B86A43">
          <w:pgSz w:w="11910" w:h="16840"/>
          <w:pgMar w:top="1580" w:right="995" w:bottom="280" w:left="1300" w:header="720" w:footer="720" w:gutter="0"/>
          <w:cols w:space="720"/>
        </w:sectPr>
      </w:pPr>
      <w:r w:rsidRPr="004F357B">
        <w:rPr>
          <w:rFonts w:asciiTheme="minorHAnsi" w:hAnsiTheme="minorHAnsi" w:cstheme="minorHAnsi"/>
          <w:lang w:val="hr-HR"/>
        </w:rPr>
        <w:t>Dok ostali prihodi su prihodi od poreza, imovine, upravnih i administrativnih pristojbi, prihodi od prodaje proizvoda i usluga, te prodaje nefinancijske imovine.</w:t>
      </w:r>
    </w:p>
    <w:p w14:paraId="42362447" w14:textId="40DC8A30" w:rsidR="00A6299C" w:rsidRPr="000D75E5" w:rsidRDefault="00E810B3" w:rsidP="000D75E5">
      <w:pPr>
        <w:spacing w:line="276" w:lineRule="auto"/>
        <w:jc w:val="center"/>
        <w:rPr>
          <w:rFonts w:asciiTheme="minorHAnsi" w:hAnsiTheme="minorHAnsi" w:cstheme="minorHAnsi"/>
          <w:b/>
          <w:sz w:val="28"/>
          <w:lang w:val="hr-HR"/>
        </w:rPr>
      </w:pPr>
      <w:r w:rsidRPr="000D75E5">
        <w:rPr>
          <w:rFonts w:asciiTheme="minorHAnsi" w:hAnsiTheme="minorHAnsi" w:cstheme="minorHAnsi"/>
          <w:b/>
          <w:sz w:val="28"/>
          <w:lang w:val="hr-HR"/>
        </w:rPr>
        <w:lastRenderedPageBreak/>
        <w:t xml:space="preserve">Smjernice i </w:t>
      </w:r>
      <w:r w:rsidR="009331E2" w:rsidRPr="000D75E5">
        <w:rPr>
          <w:rFonts w:asciiTheme="minorHAnsi" w:hAnsiTheme="minorHAnsi" w:cstheme="minorHAnsi"/>
          <w:b/>
          <w:sz w:val="28"/>
          <w:lang w:val="hr-HR"/>
        </w:rPr>
        <w:t>obrazloženje uz proračun za 202</w:t>
      </w:r>
      <w:r w:rsidR="004702AC">
        <w:rPr>
          <w:rFonts w:asciiTheme="minorHAnsi" w:hAnsiTheme="minorHAnsi" w:cstheme="minorHAnsi"/>
          <w:b/>
          <w:sz w:val="28"/>
          <w:lang w:val="hr-HR"/>
        </w:rPr>
        <w:t>6</w:t>
      </w:r>
      <w:r w:rsidRPr="000D75E5">
        <w:rPr>
          <w:rFonts w:asciiTheme="minorHAnsi" w:hAnsiTheme="minorHAnsi" w:cstheme="minorHAnsi"/>
          <w:b/>
          <w:sz w:val="28"/>
          <w:lang w:val="hr-HR"/>
        </w:rPr>
        <w:t>. godinu</w:t>
      </w:r>
    </w:p>
    <w:p w14:paraId="321A9664" w14:textId="77777777" w:rsidR="00A6299C" w:rsidRPr="00136408" w:rsidRDefault="00A6299C" w:rsidP="00B86A43">
      <w:pPr>
        <w:pStyle w:val="Tijeloteksta"/>
        <w:spacing w:before="9"/>
        <w:rPr>
          <w:rFonts w:asciiTheme="minorHAnsi" w:hAnsiTheme="minorHAnsi" w:cstheme="minorHAnsi"/>
          <w:b/>
          <w:sz w:val="40"/>
          <w:szCs w:val="40"/>
          <w:lang w:val="hr-HR"/>
        </w:rPr>
      </w:pPr>
    </w:p>
    <w:p w14:paraId="7B8FBD95" w14:textId="14C20255" w:rsidR="00A6299C" w:rsidRPr="004F357B" w:rsidRDefault="006E52FA" w:rsidP="00B86A43">
      <w:pPr>
        <w:pStyle w:val="Tijeloteksta"/>
        <w:spacing w:line="276" w:lineRule="auto"/>
        <w:ind w:left="116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U</w:t>
      </w:r>
      <w:r w:rsidR="009331E2">
        <w:rPr>
          <w:rFonts w:asciiTheme="minorHAnsi" w:hAnsiTheme="minorHAnsi" w:cstheme="minorHAnsi"/>
          <w:lang w:val="hr-HR"/>
        </w:rPr>
        <w:t xml:space="preserve"> 202</w:t>
      </w:r>
      <w:r w:rsidR="004702AC">
        <w:rPr>
          <w:rFonts w:asciiTheme="minorHAnsi" w:hAnsiTheme="minorHAnsi" w:cstheme="minorHAnsi"/>
          <w:lang w:val="hr-HR"/>
        </w:rPr>
        <w:t>6</w:t>
      </w:r>
      <w:r w:rsidR="00E810B3" w:rsidRPr="004F357B">
        <w:rPr>
          <w:rFonts w:asciiTheme="minorHAnsi" w:hAnsiTheme="minorHAnsi" w:cstheme="minorHAnsi"/>
          <w:lang w:val="hr-HR"/>
        </w:rPr>
        <w:t xml:space="preserve">. godini </w:t>
      </w:r>
      <w:r w:rsidR="00FB2C79">
        <w:rPr>
          <w:rFonts w:asciiTheme="minorHAnsi" w:hAnsiTheme="minorHAnsi" w:cstheme="minorHAnsi"/>
          <w:lang w:val="hr-HR"/>
        </w:rPr>
        <w:t xml:space="preserve">nastavlja se sa </w:t>
      </w:r>
      <w:r w:rsidR="00E810B3" w:rsidRPr="004F357B">
        <w:rPr>
          <w:rFonts w:asciiTheme="minorHAnsi" w:hAnsiTheme="minorHAnsi" w:cstheme="minorHAnsi"/>
          <w:lang w:val="hr-HR"/>
        </w:rPr>
        <w:t>niz mjera naplate prihoda, te nastavak urednog podmirivanja svih financijskih obveza (obveze prema dobavljačima).</w:t>
      </w:r>
    </w:p>
    <w:p w14:paraId="5468F623" w14:textId="77777777" w:rsidR="00A6299C" w:rsidRPr="004F357B" w:rsidRDefault="00A6299C" w:rsidP="00B86A43">
      <w:pPr>
        <w:pStyle w:val="Tijeloteksta"/>
        <w:spacing w:before="5"/>
        <w:rPr>
          <w:rFonts w:asciiTheme="minorHAnsi" w:hAnsiTheme="minorHAnsi" w:cstheme="minorHAnsi"/>
          <w:sz w:val="27"/>
          <w:lang w:val="hr-HR"/>
        </w:rPr>
      </w:pPr>
    </w:p>
    <w:p w14:paraId="59B7840A" w14:textId="77777777" w:rsidR="00A6299C" w:rsidRPr="004F357B" w:rsidRDefault="00E810B3" w:rsidP="00B86A43">
      <w:pPr>
        <w:pStyle w:val="Tijeloteksta"/>
        <w:spacing w:before="1" w:line="278" w:lineRule="auto"/>
        <w:ind w:left="116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Planiran je nastavak novih kapitalnih ulaganja, kao i završetak započetih, te financiranje istih iz EU</w:t>
      </w:r>
      <w:r w:rsidR="00C63EA4" w:rsidRPr="004F357B">
        <w:rPr>
          <w:rFonts w:asciiTheme="minorHAnsi" w:hAnsiTheme="minorHAnsi" w:cstheme="minorHAnsi"/>
          <w:lang w:val="hr-HR"/>
        </w:rPr>
        <w:t>, države</w:t>
      </w:r>
      <w:r w:rsidRPr="004F357B">
        <w:rPr>
          <w:rFonts w:asciiTheme="minorHAnsi" w:hAnsiTheme="minorHAnsi" w:cstheme="minorHAnsi"/>
          <w:lang w:val="hr-HR"/>
        </w:rPr>
        <w:t xml:space="preserve"> i vlastitih izvora.</w:t>
      </w:r>
    </w:p>
    <w:p w14:paraId="70515FFA" w14:textId="77777777" w:rsidR="00A6299C" w:rsidRPr="004F357B" w:rsidRDefault="00A6299C" w:rsidP="00B86A43">
      <w:pPr>
        <w:pStyle w:val="Tijeloteksta"/>
        <w:spacing w:before="1"/>
        <w:rPr>
          <w:rFonts w:asciiTheme="minorHAnsi" w:hAnsiTheme="minorHAnsi" w:cstheme="minorHAnsi"/>
          <w:sz w:val="27"/>
          <w:lang w:val="hr-HR"/>
        </w:rPr>
      </w:pPr>
    </w:p>
    <w:p w14:paraId="7CDBECAF" w14:textId="77777777" w:rsidR="00A6299C" w:rsidRPr="004F357B" w:rsidRDefault="00E810B3" w:rsidP="00B86A43">
      <w:pPr>
        <w:pStyle w:val="Tijeloteksta"/>
        <w:spacing w:before="1" w:line="276" w:lineRule="auto"/>
        <w:ind w:left="116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Planiran je nastavak i unapređenje cjelokupne lokalne zajednice kroz financiranje civilnog sektora (sport, kultura, vatrogastvo, civilna zaštita i dr.) za provedbe aktivnosti.</w:t>
      </w:r>
    </w:p>
    <w:p w14:paraId="1C13E0F3" w14:textId="77777777" w:rsidR="00A6299C" w:rsidRPr="004F357B" w:rsidRDefault="00A6299C" w:rsidP="00B86A43">
      <w:pPr>
        <w:pStyle w:val="Tijeloteksta"/>
        <w:spacing w:before="7"/>
        <w:rPr>
          <w:rFonts w:asciiTheme="minorHAnsi" w:hAnsiTheme="minorHAnsi" w:cstheme="minorHAnsi"/>
          <w:sz w:val="27"/>
          <w:lang w:val="hr-HR"/>
        </w:rPr>
      </w:pPr>
    </w:p>
    <w:p w14:paraId="41A988FE" w14:textId="77777777" w:rsidR="00A6299C" w:rsidRPr="004F357B" w:rsidRDefault="00E810B3" w:rsidP="00B86A43">
      <w:pPr>
        <w:pStyle w:val="Tijeloteksta"/>
        <w:spacing w:line="276" w:lineRule="auto"/>
        <w:ind w:left="116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Provedba obveznog predškolskog odgoja te financiranje potreba u osnovnim školama radi provođenja aktivnosti koji potiču i utiču na razvoj cjelokupne lokalne zajednice.</w:t>
      </w:r>
    </w:p>
    <w:p w14:paraId="1FF95363" w14:textId="77777777" w:rsidR="00A6299C" w:rsidRPr="004F357B" w:rsidRDefault="00A6299C" w:rsidP="00B86A43">
      <w:pPr>
        <w:pStyle w:val="Tijeloteksta"/>
        <w:spacing w:before="5"/>
        <w:rPr>
          <w:rFonts w:asciiTheme="minorHAnsi" w:hAnsiTheme="minorHAnsi" w:cstheme="minorHAnsi"/>
          <w:sz w:val="27"/>
          <w:lang w:val="hr-HR"/>
        </w:rPr>
      </w:pPr>
    </w:p>
    <w:p w14:paraId="3B00D202" w14:textId="583C8451" w:rsidR="00A6299C" w:rsidRPr="004F357B" w:rsidRDefault="00E810B3" w:rsidP="00B86A43">
      <w:pPr>
        <w:pStyle w:val="Tijeloteksta"/>
        <w:spacing w:line="278" w:lineRule="auto"/>
        <w:ind w:left="116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 xml:space="preserve">Sve navedeno se vidi kroz programsku klasifikaciju proračuna Općine </w:t>
      </w:r>
      <w:r w:rsidR="00C63EA4" w:rsidRPr="004F357B">
        <w:rPr>
          <w:rFonts w:asciiTheme="minorHAnsi" w:hAnsiTheme="minorHAnsi" w:cstheme="minorHAnsi"/>
          <w:lang w:val="hr-HR"/>
        </w:rPr>
        <w:t>Darda</w:t>
      </w:r>
      <w:r w:rsidR="009331E2">
        <w:rPr>
          <w:rFonts w:asciiTheme="minorHAnsi" w:hAnsiTheme="minorHAnsi" w:cstheme="minorHAnsi"/>
          <w:lang w:val="hr-HR"/>
        </w:rPr>
        <w:t xml:space="preserve"> za 202</w:t>
      </w:r>
      <w:r w:rsidR="004702AC">
        <w:rPr>
          <w:rFonts w:asciiTheme="minorHAnsi" w:hAnsiTheme="minorHAnsi" w:cstheme="minorHAnsi"/>
          <w:lang w:val="hr-HR"/>
        </w:rPr>
        <w:t>6</w:t>
      </w:r>
      <w:r w:rsidR="009331E2">
        <w:rPr>
          <w:rFonts w:asciiTheme="minorHAnsi" w:hAnsiTheme="minorHAnsi" w:cstheme="minorHAnsi"/>
          <w:lang w:val="hr-HR"/>
        </w:rPr>
        <w:t>. godinu, s projekcijama za 202</w:t>
      </w:r>
      <w:r w:rsidR="004702AC">
        <w:rPr>
          <w:rFonts w:asciiTheme="minorHAnsi" w:hAnsiTheme="minorHAnsi" w:cstheme="minorHAnsi"/>
          <w:lang w:val="hr-HR"/>
        </w:rPr>
        <w:t>7</w:t>
      </w:r>
      <w:r w:rsidR="009331E2">
        <w:rPr>
          <w:rFonts w:asciiTheme="minorHAnsi" w:hAnsiTheme="minorHAnsi" w:cstheme="minorHAnsi"/>
          <w:lang w:val="hr-HR"/>
        </w:rPr>
        <w:t>. i 202</w:t>
      </w:r>
      <w:r w:rsidR="004702AC">
        <w:rPr>
          <w:rFonts w:asciiTheme="minorHAnsi" w:hAnsiTheme="minorHAnsi" w:cstheme="minorHAnsi"/>
          <w:lang w:val="hr-HR"/>
        </w:rPr>
        <w:t>8</w:t>
      </w:r>
      <w:r w:rsidRPr="004F357B">
        <w:rPr>
          <w:rFonts w:asciiTheme="minorHAnsi" w:hAnsiTheme="minorHAnsi" w:cstheme="minorHAnsi"/>
          <w:lang w:val="hr-HR"/>
        </w:rPr>
        <w:t>.</w:t>
      </w:r>
    </w:p>
    <w:p w14:paraId="298576C9" w14:textId="77777777" w:rsidR="00A6299C" w:rsidRPr="004F357B" w:rsidRDefault="005D6C2B" w:rsidP="00B86A43">
      <w:pPr>
        <w:pStyle w:val="Tijeloteksta"/>
        <w:spacing w:before="3"/>
        <w:rPr>
          <w:rFonts w:asciiTheme="minorHAnsi" w:hAnsiTheme="minorHAnsi" w:cstheme="minorHAnsi"/>
          <w:sz w:val="27"/>
          <w:lang w:val="hr-HR"/>
        </w:rPr>
      </w:pPr>
      <w:r>
        <w:rPr>
          <w:rFonts w:asciiTheme="minorHAnsi" w:hAnsiTheme="minorHAnsi" w:cstheme="minorHAnsi"/>
          <w:noProof/>
          <w:lang w:val="hr-HR" w:eastAsia="hr-HR"/>
        </w:rPr>
        <w:drawing>
          <wp:anchor distT="0" distB="0" distL="114300" distR="114300" simplePos="0" relativeHeight="251660288" behindDoc="0" locked="0" layoutInCell="1" allowOverlap="1" wp14:anchorId="432DE7CC" wp14:editId="53224C28">
            <wp:simplePos x="0" y="0"/>
            <wp:positionH relativeFrom="margin">
              <wp:posOffset>19685</wp:posOffset>
            </wp:positionH>
            <wp:positionV relativeFrom="margin">
              <wp:posOffset>4353560</wp:posOffset>
            </wp:positionV>
            <wp:extent cx="713740" cy="534670"/>
            <wp:effectExtent l="0" t="0" r="0" b="0"/>
            <wp:wrapSquare wrapText="bothSides"/>
            <wp:docPr id="5" name="Slika 5" descr="C:\Users\Anita\AppData\Local\Microsoft\Windows\INetCache\IE\6GIE12JE\86a9bd33cbdd5ead2d43fb9b3e2081ff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ita\AppData\Local\Microsoft\Windows\INetCache\IE\6GIE12JE\86a9bd33cbdd5ead2d43fb9b3e2081ff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2AD19E" w14:textId="77777777" w:rsidR="00A6299C" w:rsidRPr="004F357B" w:rsidRDefault="00E810B3" w:rsidP="00B86A43">
      <w:pPr>
        <w:pStyle w:val="Naslov1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Ciljevi</w:t>
      </w:r>
    </w:p>
    <w:p w14:paraId="05B850A7" w14:textId="77777777" w:rsidR="00A6299C" w:rsidRPr="004F357B" w:rsidRDefault="00A6299C" w:rsidP="00B86A43">
      <w:pPr>
        <w:pStyle w:val="Tijeloteksta"/>
        <w:rPr>
          <w:rFonts w:asciiTheme="minorHAnsi" w:hAnsiTheme="minorHAnsi" w:cstheme="minorHAnsi"/>
          <w:b/>
          <w:sz w:val="33"/>
          <w:lang w:val="hr-HR"/>
        </w:rPr>
      </w:pPr>
    </w:p>
    <w:p w14:paraId="0AFAB744" w14:textId="1C3A3226" w:rsidR="00A6299C" w:rsidRPr="004F357B" w:rsidRDefault="00E810B3" w:rsidP="00B86A43">
      <w:pPr>
        <w:pStyle w:val="Tijeloteksta"/>
        <w:spacing w:line="276" w:lineRule="auto"/>
        <w:ind w:left="116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Osnovni cilj proračunsko</w:t>
      </w:r>
      <w:r w:rsidR="00F70243">
        <w:rPr>
          <w:rFonts w:asciiTheme="minorHAnsi" w:hAnsiTheme="minorHAnsi" w:cstheme="minorHAnsi"/>
          <w:lang w:val="hr-HR"/>
        </w:rPr>
        <w:t>g planiranja za proračun za 202</w:t>
      </w:r>
      <w:r w:rsidR="004702AC">
        <w:rPr>
          <w:rFonts w:asciiTheme="minorHAnsi" w:hAnsiTheme="minorHAnsi" w:cstheme="minorHAnsi"/>
          <w:lang w:val="hr-HR"/>
        </w:rPr>
        <w:t>6</w:t>
      </w:r>
      <w:r w:rsidRPr="004F357B">
        <w:rPr>
          <w:rFonts w:asciiTheme="minorHAnsi" w:hAnsiTheme="minorHAnsi" w:cstheme="minorHAnsi"/>
          <w:lang w:val="hr-HR"/>
        </w:rPr>
        <w:t>. godinu je osiguranje stabilnosti Proračuna, te razvoj kroz kapitalne investicije i kroz aktivnosti koje provodi civilni sektor.</w:t>
      </w:r>
    </w:p>
    <w:p w14:paraId="4F556E13" w14:textId="77777777" w:rsidR="00A6299C" w:rsidRPr="004F357B" w:rsidRDefault="00A6299C" w:rsidP="00B86A43">
      <w:pPr>
        <w:pStyle w:val="Tijeloteksta"/>
        <w:spacing w:before="5"/>
        <w:rPr>
          <w:rFonts w:asciiTheme="minorHAnsi" w:hAnsiTheme="minorHAnsi" w:cstheme="minorHAnsi"/>
          <w:sz w:val="27"/>
          <w:lang w:val="hr-HR"/>
        </w:rPr>
      </w:pPr>
    </w:p>
    <w:p w14:paraId="1B6CB5AB" w14:textId="77777777" w:rsidR="00A6299C" w:rsidRPr="004F357B" w:rsidRDefault="00E810B3" w:rsidP="00B86A43">
      <w:pPr>
        <w:pStyle w:val="Tijeloteksta"/>
        <w:ind w:left="116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Pozitivni pokazatelji:</w:t>
      </w:r>
    </w:p>
    <w:p w14:paraId="34822C5A" w14:textId="77777777" w:rsidR="00A6299C" w:rsidRPr="004F357B" w:rsidRDefault="00E810B3" w:rsidP="00B86A43">
      <w:pPr>
        <w:pStyle w:val="Odlomakpopisa"/>
        <w:numPr>
          <w:ilvl w:val="0"/>
          <w:numId w:val="1"/>
        </w:numPr>
        <w:tabs>
          <w:tab w:val="left" w:pos="837"/>
        </w:tabs>
        <w:spacing w:before="43"/>
        <w:ind w:hanging="361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>Povećanje</w:t>
      </w:r>
      <w:r w:rsidRPr="004F357B">
        <w:rPr>
          <w:rFonts w:asciiTheme="minorHAnsi" w:hAnsiTheme="minorHAnsi" w:cstheme="minorHAnsi"/>
          <w:spacing w:val="-1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prihoda</w:t>
      </w:r>
    </w:p>
    <w:p w14:paraId="00EC3A43" w14:textId="77777777" w:rsidR="00A6299C" w:rsidRPr="004F357B" w:rsidRDefault="00E810B3" w:rsidP="00B86A43">
      <w:pPr>
        <w:pStyle w:val="Odlomakpopisa"/>
        <w:numPr>
          <w:ilvl w:val="0"/>
          <w:numId w:val="1"/>
        </w:numPr>
        <w:tabs>
          <w:tab w:val="left" w:pos="837"/>
        </w:tabs>
        <w:spacing w:before="41" w:line="276" w:lineRule="auto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>završetak započetih kapitalnih ulaganja, te otvaranje radova na novim kapitalnim ulaganjima</w:t>
      </w:r>
    </w:p>
    <w:p w14:paraId="0183CD59" w14:textId="77777777" w:rsidR="00A6299C" w:rsidRPr="004F357B" w:rsidRDefault="00E810B3" w:rsidP="00B86A43">
      <w:pPr>
        <w:pStyle w:val="Tijeloteksta"/>
        <w:spacing w:line="275" w:lineRule="exact"/>
        <w:ind w:left="116"/>
        <w:jc w:val="both"/>
        <w:rPr>
          <w:rFonts w:asciiTheme="minorHAnsi" w:hAnsiTheme="minorHAnsi" w:cstheme="minorHAnsi"/>
          <w:lang w:val="hr-HR"/>
        </w:rPr>
      </w:pPr>
      <w:r w:rsidRPr="004F357B">
        <w:rPr>
          <w:rFonts w:asciiTheme="minorHAnsi" w:hAnsiTheme="minorHAnsi" w:cstheme="minorHAnsi"/>
          <w:lang w:val="hr-HR"/>
        </w:rPr>
        <w:t>Negativni pokazatelji:</w:t>
      </w:r>
    </w:p>
    <w:p w14:paraId="581200A6" w14:textId="461F7EFF" w:rsidR="00136408" w:rsidRDefault="00136408" w:rsidP="00C63EA4">
      <w:pPr>
        <w:pStyle w:val="Odlomakpopisa"/>
        <w:numPr>
          <w:ilvl w:val="1"/>
          <w:numId w:val="1"/>
        </w:numPr>
        <w:spacing w:before="41"/>
        <w:ind w:left="851" w:hanging="361"/>
        <w:rPr>
          <w:rFonts w:asciiTheme="minorHAnsi" w:hAnsiTheme="minorHAnsi" w:cstheme="minorHAnsi"/>
          <w:sz w:val="24"/>
          <w:lang w:val="hr-HR"/>
        </w:rPr>
      </w:pPr>
      <w:r>
        <w:rPr>
          <w:rFonts w:asciiTheme="minorHAnsi" w:hAnsiTheme="minorHAnsi" w:cstheme="minorHAnsi"/>
          <w:sz w:val="24"/>
          <w:lang w:val="hr-HR"/>
        </w:rPr>
        <w:t>Utjecaj inflacije</w:t>
      </w:r>
    </w:p>
    <w:p w14:paraId="419B6A14" w14:textId="5CEF014E" w:rsidR="00A6299C" w:rsidRPr="004F357B" w:rsidRDefault="00E810B3" w:rsidP="00C63EA4">
      <w:pPr>
        <w:pStyle w:val="Odlomakpopisa"/>
        <w:numPr>
          <w:ilvl w:val="1"/>
          <w:numId w:val="1"/>
        </w:numPr>
        <w:spacing w:before="41"/>
        <w:ind w:left="851" w:hanging="361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>Niski osobni dohoci zaposlenih</w:t>
      </w:r>
      <w:r w:rsidRPr="004F357B">
        <w:rPr>
          <w:rFonts w:asciiTheme="minorHAnsi" w:hAnsiTheme="minorHAnsi" w:cstheme="minorHAnsi"/>
          <w:spacing w:val="-1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osoba</w:t>
      </w:r>
    </w:p>
    <w:p w14:paraId="0241612E" w14:textId="77777777" w:rsidR="00A6299C" w:rsidRPr="004F357B" w:rsidRDefault="00E810B3" w:rsidP="00C63EA4">
      <w:pPr>
        <w:pStyle w:val="Odlomakpopisa"/>
        <w:numPr>
          <w:ilvl w:val="1"/>
          <w:numId w:val="1"/>
        </w:numPr>
        <w:spacing w:before="40" w:line="276" w:lineRule="auto"/>
        <w:ind w:left="851"/>
        <w:rPr>
          <w:rFonts w:asciiTheme="minorHAnsi" w:hAnsiTheme="minorHAnsi" w:cstheme="minorHAnsi"/>
          <w:sz w:val="24"/>
          <w:lang w:val="hr-HR"/>
        </w:rPr>
      </w:pPr>
      <w:r w:rsidRPr="004F357B">
        <w:rPr>
          <w:rFonts w:asciiTheme="minorHAnsi" w:hAnsiTheme="minorHAnsi" w:cstheme="minorHAnsi"/>
          <w:sz w:val="24"/>
          <w:lang w:val="hr-HR"/>
        </w:rPr>
        <w:t>nepoznat je učinak punjenja prihodovne strane iz kapitalnih pomoći temeljem prijenosa EU sredstava zbog nepoznate dinamike objavljivanja natječaja, te donošenja odluka o financiranju kandidiranih</w:t>
      </w:r>
      <w:r w:rsidRPr="004F357B">
        <w:rPr>
          <w:rFonts w:asciiTheme="minorHAnsi" w:hAnsiTheme="minorHAnsi" w:cstheme="minorHAnsi"/>
          <w:spacing w:val="-2"/>
          <w:sz w:val="24"/>
          <w:lang w:val="hr-HR"/>
        </w:rPr>
        <w:t xml:space="preserve"> </w:t>
      </w:r>
      <w:r w:rsidRPr="004F357B">
        <w:rPr>
          <w:rFonts w:asciiTheme="minorHAnsi" w:hAnsiTheme="minorHAnsi" w:cstheme="minorHAnsi"/>
          <w:sz w:val="24"/>
          <w:lang w:val="hr-HR"/>
        </w:rPr>
        <w:t>projekata.</w:t>
      </w:r>
    </w:p>
    <w:sectPr w:rsidR="00A6299C" w:rsidRPr="004F357B" w:rsidSect="00B86A43">
      <w:pgSz w:w="11910" w:h="16840"/>
      <w:pgMar w:top="1580" w:right="995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C016" w14:textId="77777777" w:rsidR="0081533F" w:rsidRDefault="0081533F" w:rsidP="00B334FA">
      <w:r>
        <w:separator/>
      </w:r>
    </w:p>
  </w:endnote>
  <w:endnote w:type="continuationSeparator" w:id="0">
    <w:p w14:paraId="4A5152B1" w14:textId="77777777" w:rsidR="0081533F" w:rsidRDefault="0081533F" w:rsidP="00B3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0648236"/>
      <w:docPartObj>
        <w:docPartGallery w:val="Page Numbers (Bottom of Page)"/>
        <w:docPartUnique/>
      </w:docPartObj>
    </w:sdtPr>
    <w:sdtContent>
      <w:p w14:paraId="1231E43E" w14:textId="77777777" w:rsidR="00B334FA" w:rsidRDefault="00B334FA">
        <w:pPr>
          <w:pStyle w:val="Podnoje"/>
          <w:jc w:val="center"/>
        </w:pPr>
        <w:r>
          <w:rPr>
            <w:noProof/>
            <w:lang w:val="hr-HR" w:eastAsia="hr-HR"/>
          </w:rPr>
          <mc:AlternateContent>
            <mc:Choice Requires="wps">
              <w:drawing>
                <wp:inline distT="0" distB="0" distL="0" distR="0" wp14:anchorId="6F5EFD85" wp14:editId="2A30BF18">
                  <wp:extent cx="5467350" cy="45085"/>
                  <wp:effectExtent l="9525" t="9525" r="0" b="2540"/>
                  <wp:docPr id="648" name="Samooblik 1" descr="Svijetlo vodoravn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790E9A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amooblik 1" o:spid="_x0000_s1026" type="#_x0000_t110" alt="Svijetlo vodoravno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F0DCF87" w14:textId="77777777" w:rsidR="00B334FA" w:rsidRDefault="00B334FA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CA677D" w:rsidRPr="00CA677D">
          <w:rPr>
            <w:noProof/>
            <w:lang w:val="hr-HR"/>
          </w:rPr>
          <w:t>9</w:t>
        </w:r>
        <w:r>
          <w:fldChar w:fldCharType="end"/>
        </w:r>
      </w:p>
    </w:sdtContent>
  </w:sdt>
  <w:p w14:paraId="6FDF3FF0" w14:textId="77777777" w:rsidR="00B334FA" w:rsidRDefault="00B334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3312" w14:textId="77777777" w:rsidR="0081533F" w:rsidRDefault="0081533F" w:rsidP="00B334FA">
      <w:r>
        <w:separator/>
      </w:r>
    </w:p>
  </w:footnote>
  <w:footnote w:type="continuationSeparator" w:id="0">
    <w:p w14:paraId="74B6461A" w14:textId="77777777" w:rsidR="0081533F" w:rsidRDefault="0081533F" w:rsidP="00B33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6E07"/>
    <w:multiLevelType w:val="hybridMultilevel"/>
    <w:tmpl w:val="BA1A16FA"/>
    <w:lvl w:ilvl="0" w:tplc="E9FE55CC">
      <w:numFmt w:val="bullet"/>
      <w:lvlText w:val="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C6A2ECD4">
      <w:numFmt w:val="bullet"/>
      <w:lvlText w:val=""/>
      <w:lvlJc w:val="left"/>
      <w:pPr>
        <w:ind w:left="154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1E226C04">
      <w:numFmt w:val="bullet"/>
      <w:lvlText w:val="•"/>
      <w:lvlJc w:val="left"/>
      <w:pPr>
        <w:ind w:left="2480" w:hanging="360"/>
      </w:pPr>
      <w:rPr>
        <w:rFonts w:hint="default"/>
      </w:rPr>
    </w:lvl>
    <w:lvl w:ilvl="3" w:tplc="4FC0EC38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D494A7B4"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42A05D0E">
      <w:numFmt w:val="bullet"/>
      <w:lvlText w:val="•"/>
      <w:lvlJc w:val="left"/>
      <w:pPr>
        <w:ind w:left="5302" w:hanging="360"/>
      </w:pPr>
      <w:rPr>
        <w:rFonts w:hint="default"/>
      </w:rPr>
    </w:lvl>
    <w:lvl w:ilvl="6" w:tplc="55C61B66">
      <w:numFmt w:val="bullet"/>
      <w:lvlText w:val="•"/>
      <w:lvlJc w:val="left"/>
      <w:pPr>
        <w:ind w:left="6243" w:hanging="360"/>
      </w:pPr>
      <w:rPr>
        <w:rFonts w:hint="default"/>
      </w:rPr>
    </w:lvl>
    <w:lvl w:ilvl="7" w:tplc="72E41BBE">
      <w:numFmt w:val="bullet"/>
      <w:lvlText w:val="•"/>
      <w:lvlJc w:val="left"/>
      <w:pPr>
        <w:ind w:left="7184" w:hanging="360"/>
      </w:pPr>
      <w:rPr>
        <w:rFonts w:hint="default"/>
      </w:rPr>
    </w:lvl>
    <w:lvl w:ilvl="8" w:tplc="BAB8BEFE">
      <w:numFmt w:val="bullet"/>
      <w:lvlText w:val="•"/>
      <w:lvlJc w:val="left"/>
      <w:pPr>
        <w:ind w:left="8124" w:hanging="360"/>
      </w:pPr>
      <w:rPr>
        <w:rFonts w:hint="default"/>
      </w:rPr>
    </w:lvl>
  </w:abstractNum>
  <w:abstractNum w:abstractNumId="1" w15:restartNumberingAfterBreak="0">
    <w:nsid w:val="32CF6645"/>
    <w:multiLevelType w:val="hybridMultilevel"/>
    <w:tmpl w:val="CEC4B7DA"/>
    <w:lvl w:ilvl="0" w:tplc="31D04184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B1524"/>
    <w:multiLevelType w:val="hybridMultilevel"/>
    <w:tmpl w:val="C4F2327C"/>
    <w:lvl w:ilvl="0" w:tplc="D7DA45F2">
      <w:start w:val="4"/>
      <w:numFmt w:val="bullet"/>
      <w:lvlText w:val="-"/>
      <w:lvlJc w:val="left"/>
      <w:pPr>
        <w:ind w:left="1183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 w15:restartNumberingAfterBreak="0">
    <w:nsid w:val="49616046"/>
    <w:multiLevelType w:val="hybridMultilevel"/>
    <w:tmpl w:val="29480102"/>
    <w:lvl w:ilvl="0" w:tplc="4CE69280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258E3656">
      <w:start w:val="1"/>
      <w:numFmt w:val="lowerLetter"/>
      <w:lvlText w:val="%2)"/>
      <w:lvlJc w:val="left"/>
      <w:pPr>
        <w:ind w:left="116" w:hanging="346"/>
      </w:pPr>
      <w:rPr>
        <w:rFonts w:ascii="Times New Roman" w:eastAsia="Times New Roman" w:hAnsi="Times New Roman" w:cs="Times New Roman" w:hint="default"/>
        <w:b w:val="0"/>
        <w:bCs/>
        <w:spacing w:val="-15"/>
        <w:w w:val="99"/>
        <w:sz w:val="24"/>
        <w:szCs w:val="24"/>
      </w:rPr>
    </w:lvl>
    <w:lvl w:ilvl="2" w:tplc="E51C0CCA">
      <w:numFmt w:val="bullet"/>
      <w:lvlText w:val=""/>
      <w:lvlJc w:val="left"/>
      <w:pPr>
        <w:ind w:left="2247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0270EEDA"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D3E804E4">
      <w:numFmt w:val="bullet"/>
      <w:lvlText w:val="•"/>
      <w:lvlJc w:val="left"/>
      <w:pPr>
        <w:ind w:left="2240" w:hanging="360"/>
      </w:pPr>
      <w:rPr>
        <w:rFonts w:hint="default"/>
      </w:rPr>
    </w:lvl>
    <w:lvl w:ilvl="5" w:tplc="EB78E556">
      <w:numFmt w:val="bullet"/>
      <w:lvlText w:val="•"/>
      <w:lvlJc w:val="left"/>
      <w:pPr>
        <w:ind w:left="3534" w:hanging="360"/>
      </w:pPr>
      <w:rPr>
        <w:rFonts w:hint="default"/>
      </w:rPr>
    </w:lvl>
    <w:lvl w:ilvl="6" w:tplc="D74AA918">
      <w:numFmt w:val="bullet"/>
      <w:lvlText w:val="•"/>
      <w:lvlJc w:val="left"/>
      <w:pPr>
        <w:ind w:left="4828" w:hanging="360"/>
      </w:pPr>
      <w:rPr>
        <w:rFonts w:hint="default"/>
      </w:rPr>
    </w:lvl>
    <w:lvl w:ilvl="7" w:tplc="A45A9DFE">
      <w:numFmt w:val="bullet"/>
      <w:lvlText w:val="•"/>
      <w:lvlJc w:val="left"/>
      <w:pPr>
        <w:ind w:left="6123" w:hanging="360"/>
      </w:pPr>
      <w:rPr>
        <w:rFonts w:hint="default"/>
      </w:rPr>
    </w:lvl>
    <w:lvl w:ilvl="8" w:tplc="BBE8333A">
      <w:numFmt w:val="bullet"/>
      <w:lvlText w:val="•"/>
      <w:lvlJc w:val="left"/>
      <w:pPr>
        <w:ind w:left="7417" w:hanging="360"/>
      </w:pPr>
      <w:rPr>
        <w:rFonts w:hint="default"/>
      </w:rPr>
    </w:lvl>
  </w:abstractNum>
  <w:abstractNum w:abstractNumId="4" w15:restartNumberingAfterBreak="0">
    <w:nsid w:val="5C696E03"/>
    <w:multiLevelType w:val="hybridMultilevel"/>
    <w:tmpl w:val="8BD4EEA2"/>
    <w:lvl w:ilvl="0" w:tplc="7D9EAC56">
      <w:numFmt w:val="bullet"/>
      <w:lvlText w:val=""/>
      <w:lvlJc w:val="left"/>
      <w:pPr>
        <w:ind w:left="786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33C6754">
      <w:numFmt w:val="bullet"/>
      <w:lvlText w:val="•"/>
      <w:lvlJc w:val="left"/>
      <w:pPr>
        <w:ind w:left="1630" w:hanging="360"/>
      </w:pPr>
      <w:rPr>
        <w:rFonts w:hint="default"/>
      </w:rPr>
    </w:lvl>
    <w:lvl w:ilvl="2" w:tplc="774AAFBE">
      <w:numFmt w:val="bullet"/>
      <w:lvlText w:val="•"/>
      <w:lvlJc w:val="left"/>
      <w:pPr>
        <w:ind w:left="2477" w:hanging="360"/>
      </w:pPr>
      <w:rPr>
        <w:rFonts w:hint="default"/>
      </w:rPr>
    </w:lvl>
    <w:lvl w:ilvl="3" w:tplc="A09AD53E">
      <w:numFmt w:val="bullet"/>
      <w:lvlText w:val="•"/>
      <w:lvlJc w:val="left"/>
      <w:pPr>
        <w:ind w:left="3323" w:hanging="360"/>
      </w:pPr>
      <w:rPr>
        <w:rFonts w:hint="default"/>
      </w:rPr>
    </w:lvl>
    <w:lvl w:ilvl="4" w:tplc="23FCFC76">
      <w:numFmt w:val="bullet"/>
      <w:lvlText w:val="•"/>
      <w:lvlJc w:val="left"/>
      <w:pPr>
        <w:ind w:left="4170" w:hanging="360"/>
      </w:pPr>
      <w:rPr>
        <w:rFonts w:hint="default"/>
      </w:rPr>
    </w:lvl>
    <w:lvl w:ilvl="5" w:tplc="CB5899C4"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8DF2FA4E"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08366498">
      <w:numFmt w:val="bullet"/>
      <w:lvlText w:val="•"/>
      <w:lvlJc w:val="left"/>
      <w:pPr>
        <w:ind w:left="6710" w:hanging="360"/>
      </w:pPr>
      <w:rPr>
        <w:rFonts w:hint="default"/>
      </w:rPr>
    </w:lvl>
    <w:lvl w:ilvl="8" w:tplc="7B249312"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5" w15:restartNumberingAfterBreak="0">
    <w:nsid w:val="64251B35"/>
    <w:multiLevelType w:val="hybridMultilevel"/>
    <w:tmpl w:val="44362F42"/>
    <w:lvl w:ilvl="0" w:tplc="F6DC1188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824283A2">
      <w:start w:val="1"/>
      <w:numFmt w:val="lowerLetter"/>
      <w:lvlText w:val="%2)"/>
      <w:lvlJc w:val="left"/>
      <w:pPr>
        <w:ind w:left="828" w:hanging="260"/>
        <w:jc w:val="right"/>
      </w:pPr>
      <w:rPr>
        <w:rFonts w:ascii="Times New Roman" w:eastAsia="Times New Roman" w:hAnsi="Times New Roman" w:cs="Times New Roman" w:hint="default"/>
        <w:b w:val="0"/>
        <w:bCs/>
        <w:spacing w:val="-2"/>
        <w:w w:val="99"/>
        <w:sz w:val="24"/>
        <w:szCs w:val="24"/>
      </w:rPr>
    </w:lvl>
    <w:lvl w:ilvl="2" w:tplc="2DC672F4">
      <w:numFmt w:val="bullet"/>
      <w:lvlText w:val=""/>
      <w:lvlJc w:val="left"/>
      <w:pPr>
        <w:ind w:left="2247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6E94A56A">
      <w:numFmt w:val="bullet"/>
      <w:lvlText w:val="•"/>
      <w:lvlJc w:val="left"/>
      <w:pPr>
        <w:ind w:left="2240" w:hanging="360"/>
      </w:pPr>
      <w:rPr>
        <w:rFonts w:hint="default"/>
      </w:rPr>
    </w:lvl>
    <w:lvl w:ilvl="4" w:tplc="5442D288">
      <w:numFmt w:val="bullet"/>
      <w:lvlText w:val="•"/>
      <w:lvlJc w:val="left"/>
      <w:pPr>
        <w:ind w:left="3349" w:hanging="360"/>
      </w:pPr>
      <w:rPr>
        <w:rFonts w:hint="default"/>
      </w:rPr>
    </w:lvl>
    <w:lvl w:ilvl="5" w:tplc="6B68FBAC">
      <w:numFmt w:val="bullet"/>
      <w:lvlText w:val="•"/>
      <w:lvlJc w:val="left"/>
      <w:pPr>
        <w:ind w:left="4458" w:hanging="360"/>
      </w:pPr>
      <w:rPr>
        <w:rFonts w:hint="default"/>
      </w:rPr>
    </w:lvl>
    <w:lvl w:ilvl="6" w:tplc="8BA47398">
      <w:numFmt w:val="bullet"/>
      <w:lvlText w:val="•"/>
      <w:lvlJc w:val="left"/>
      <w:pPr>
        <w:ind w:left="5568" w:hanging="360"/>
      </w:pPr>
      <w:rPr>
        <w:rFonts w:hint="default"/>
      </w:rPr>
    </w:lvl>
    <w:lvl w:ilvl="7" w:tplc="26EC9B8E">
      <w:numFmt w:val="bullet"/>
      <w:lvlText w:val="•"/>
      <w:lvlJc w:val="left"/>
      <w:pPr>
        <w:ind w:left="6677" w:hanging="360"/>
      </w:pPr>
      <w:rPr>
        <w:rFonts w:hint="default"/>
      </w:rPr>
    </w:lvl>
    <w:lvl w:ilvl="8" w:tplc="3848819C">
      <w:numFmt w:val="bullet"/>
      <w:lvlText w:val="•"/>
      <w:lvlJc w:val="left"/>
      <w:pPr>
        <w:ind w:left="7787" w:hanging="360"/>
      </w:pPr>
      <w:rPr>
        <w:rFonts w:hint="default"/>
      </w:rPr>
    </w:lvl>
  </w:abstractNum>
  <w:num w:numId="1" w16cid:durableId="1102797732">
    <w:abstractNumId w:val="0"/>
  </w:num>
  <w:num w:numId="2" w16cid:durableId="1506482068">
    <w:abstractNumId w:val="3"/>
  </w:num>
  <w:num w:numId="3" w16cid:durableId="1266155620">
    <w:abstractNumId w:val="5"/>
  </w:num>
  <w:num w:numId="4" w16cid:durableId="1867870412">
    <w:abstractNumId w:val="4"/>
  </w:num>
  <w:num w:numId="5" w16cid:durableId="1772702298">
    <w:abstractNumId w:val="1"/>
  </w:num>
  <w:num w:numId="6" w16cid:durableId="195579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9C"/>
    <w:rsid w:val="00064AB0"/>
    <w:rsid w:val="00072BD8"/>
    <w:rsid w:val="00096B3D"/>
    <w:rsid w:val="000D1A41"/>
    <w:rsid w:val="000D75E5"/>
    <w:rsid w:val="0010270D"/>
    <w:rsid w:val="00113ABE"/>
    <w:rsid w:val="00136408"/>
    <w:rsid w:val="001A314D"/>
    <w:rsid w:val="001A7EED"/>
    <w:rsid w:val="001B36C4"/>
    <w:rsid w:val="001D245C"/>
    <w:rsid w:val="00231E6F"/>
    <w:rsid w:val="00232447"/>
    <w:rsid w:val="00305E7A"/>
    <w:rsid w:val="003234A2"/>
    <w:rsid w:val="00352400"/>
    <w:rsid w:val="003C76C7"/>
    <w:rsid w:val="0043486A"/>
    <w:rsid w:val="00451397"/>
    <w:rsid w:val="004702AC"/>
    <w:rsid w:val="00482F6C"/>
    <w:rsid w:val="00491040"/>
    <w:rsid w:val="004A27C9"/>
    <w:rsid w:val="004E5E98"/>
    <w:rsid w:val="004F357B"/>
    <w:rsid w:val="00537E8C"/>
    <w:rsid w:val="00575B72"/>
    <w:rsid w:val="00584D73"/>
    <w:rsid w:val="005B62E0"/>
    <w:rsid w:val="005D6C2B"/>
    <w:rsid w:val="00612731"/>
    <w:rsid w:val="00665C33"/>
    <w:rsid w:val="00677039"/>
    <w:rsid w:val="00693744"/>
    <w:rsid w:val="006A79B8"/>
    <w:rsid w:val="006B3979"/>
    <w:rsid w:val="006B3996"/>
    <w:rsid w:val="006E52FA"/>
    <w:rsid w:val="006F60D3"/>
    <w:rsid w:val="0070330A"/>
    <w:rsid w:val="007605EC"/>
    <w:rsid w:val="00785378"/>
    <w:rsid w:val="007A5D81"/>
    <w:rsid w:val="00805927"/>
    <w:rsid w:val="00811CA8"/>
    <w:rsid w:val="0081533F"/>
    <w:rsid w:val="008675B8"/>
    <w:rsid w:val="008C3539"/>
    <w:rsid w:val="009331E2"/>
    <w:rsid w:val="0095403E"/>
    <w:rsid w:val="00960D5C"/>
    <w:rsid w:val="00981BE5"/>
    <w:rsid w:val="009D24E0"/>
    <w:rsid w:val="009D5901"/>
    <w:rsid w:val="009F5104"/>
    <w:rsid w:val="00A57AFB"/>
    <w:rsid w:val="00A6299C"/>
    <w:rsid w:val="00A7743C"/>
    <w:rsid w:val="00AE14EF"/>
    <w:rsid w:val="00AF44DD"/>
    <w:rsid w:val="00B20E2D"/>
    <w:rsid w:val="00B334FA"/>
    <w:rsid w:val="00B86A43"/>
    <w:rsid w:val="00BD060A"/>
    <w:rsid w:val="00BE520A"/>
    <w:rsid w:val="00C53756"/>
    <w:rsid w:val="00C63EA4"/>
    <w:rsid w:val="00CA677D"/>
    <w:rsid w:val="00CB231E"/>
    <w:rsid w:val="00CB35C0"/>
    <w:rsid w:val="00CD02AB"/>
    <w:rsid w:val="00DA63DF"/>
    <w:rsid w:val="00DA74F5"/>
    <w:rsid w:val="00E71368"/>
    <w:rsid w:val="00E810B3"/>
    <w:rsid w:val="00E90132"/>
    <w:rsid w:val="00EC3925"/>
    <w:rsid w:val="00EE64F0"/>
    <w:rsid w:val="00F359CD"/>
    <w:rsid w:val="00F700FF"/>
    <w:rsid w:val="00F70243"/>
    <w:rsid w:val="00F757F4"/>
    <w:rsid w:val="00FB2543"/>
    <w:rsid w:val="00FB2C79"/>
    <w:rsid w:val="00F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3ED77"/>
  <w15:docId w15:val="{3574D683-30EF-4D16-8C37-D918C7B8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pPr>
      <w:spacing w:before="1"/>
      <w:ind w:left="116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uiPriority w:val="1"/>
    <w:qFormat/>
    <w:pPr>
      <w:ind w:left="116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224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70330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330A"/>
    <w:rPr>
      <w:rFonts w:ascii="Tahoma" w:eastAsia="Times New Roman" w:hAnsi="Tahoma" w:cs="Tahoma"/>
      <w:sz w:val="16"/>
      <w:szCs w:val="16"/>
    </w:rPr>
  </w:style>
  <w:style w:type="table" w:styleId="Svijetlosjenanje-Isticanje5">
    <w:name w:val="Light Shading Accent 5"/>
    <w:basedOn w:val="Obinatablica"/>
    <w:uiPriority w:val="60"/>
    <w:rsid w:val="00C53756"/>
    <w:rPr>
      <w:color w:val="5B6345" w:themeColor="accent5" w:themeShade="BF"/>
    </w:rPr>
    <w:tblPr>
      <w:tblStyleRowBandSize w:val="1"/>
      <w:tblStyleColBandSize w:val="1"/>
      <w:tblBorders>
        <w:top w:val="single" w:sz="8" w:space="0" w:color="7A855D" w:themeColor="accent5"/>
        <w:bottom w:val="single" w:sz="8" w:space="0" w:color="7A855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55D" w:themeColor="accent5"/>
          <w:left w:val="nil"/>
          <w:bottom w:val="single" w:sz="8" w:space="0" w:color="7A855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55D" w:themeColor="accent5"/>
          <w:left w:val="nil"/>
          <w:bottom w:val="single" w:sz="8" w:space="0" w:color="7A855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D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D5" w:themeFill="accent5" w:themeFillTint="3F"/>
      </w:tcPr>
    </w:tblStylePr>
  </w:style>
  <w:style w:type="paragraph" w:styleId="Zaglavlje">
    <w:name w:val="header"/>
    <w:basedOn w:val="Normal"/>
    <w:link w:val="ZaglavljeChar"/>
    <w:uiPriority w:val="99"/>
    <w:unhideWhenUsed/>
    <w:rsid w:val="00B334F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34FA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B334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34FA"/>
    <w:rPr>
      <w:rFonts w:ascii="Times New Roman" w:eastAsia="Times New Roman" w:hAnsi="Times New Roman" w:cs="Times New Roman"/>
    </w:rPr>
  </w:style>
  <w:style w:type="table" w:styleId="Srednjipopis1-Isticanje5">
    <w:name w:val="Medium List 1 Accent 5"/>
    <w:basedOn w:val="Obinatablica"/>
    <w:uiPriority w:val="65"/>
    <w:rsid w:val="004A27C9"/>
    <w:rPr>
      <w:color w:val="000000" w:themeColor="text1"/>
    </w:rPr>
    <w:tblPr>
      <w:tblStyleRowBandSize w:val="1"/>
      <w:tblStyleColBandSize w:val="1"/>
      <w:tblBorders>
        <w:top w:val="single" w:sz="8" w:space="0" w:color="7A855D" w:themeColor="accent5"/>
        <w:bottom w:val="single" w:sz="8" w:space="0" w:color="7A855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55D" w:themeColor="accent5"/>
        </w:tcBorders>
      </w:tcPr>
    </w:tblStylePr>
    <w:tblStylePr w:type="lastRow">
      <w:rPr>
        <w:b/>
        <w:bCs/>
        <w:color w:val="162F33" w:themeColor="text2"/>
      </w:rPr>
      <w:tblPr/>
      <w:tcPr>
        <w:tcBorders>
          <w:top w:val="single" w:sz="8" w:space="0" w:color="7A855D" w:themeColor="accent5"/>
          <w:bottom w:val="single" w:sz="8" w:space="0" w:color="7A855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55D" w:themeColor="accent5"/>
          <w:bottom w:val="single" w:sz="8" w:space="0" w:color="7A855D" w:themeColor="accent5"/>
        </w:tcBorders>
      </w:tcPr>
    </w:tblStylePr>
    <w:tblStylePr w:type="band1Vert">
      <w:tblPr/>
      <w:tcPr>
        <w:shd w:val="clear" w:color="auto" w:fill="DEE2D5" w:themeFill="accent5" w:themeFillTint="3F"/>
      </w:tcPr>
    </w:tblStylePr>
    <w:tblStylePr w:type="band1Horz">
      <w:tblPr/>
      <w:tcPr>
        <w:shd w:val="clear" w:color="auto" w:fill="DEE2D5" w:themeFill="accent5" w:themeFillTint="3F"/>
      </w:tcPr>
    </w:tblStylePr>
  </w:style>
  <w:style w:type="paragraph" w:styleId="Naslov">
    <w:name w:val="Title"/>
    <w:basedOn w:val="Normal"/>
    <w:next w:val="Normal"/>
    <w:link w:val="NaslovChar"/>
    <w:uiPriority w:val="10"/>
    <w:qFormat/>
    <w:rsid w:val="00CA677D"/>
    <w:pPr>
      <w:widowControl/>
      <w:pBdr>
        <w:bottom w:val="single" w:sz="8" w:space="4" w:color="50B4C8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02326" w:themeColor="text2" w:themeShade="BF"/>
      <w:spacing w:val="5"/>
      <w:kern w:val="28"/>
      <w:sz w:val="52"/>
      <w:szCs w:val="52"/>
      <w:lang w:val="en-GB"/>
    </w:rPr>
  </w:style>
  <w:style w:type="character" w:customStyle="1" w:styleId="NaslovChar">
    <w:name w:val="Naslov Char"/>
    <w:basedOn w:val="Zadanifontodlomka"/>
    <w:link w:val="Naslov"/>
    <w:uiPriority w:val="10"/>
    <w:rsid w:val="00CA677D"/>
    <w:rPr>
      <w:rFonts w:asciiTheme="majorHAnsi" w:eastAsiaTheme="majorEastAsia" w:hAnsiTheme="majorHAnsi" w:cstheme="majorBidi"/>
      <w:color w:val="102326" w:themeColor="text2" w:themeShade="BF"/>
      <w:spacing w:val="5"/>
      <w:kern w:val="28"/>
      <w:sz w:val="52"/>
      <w:szCs w:val="52"/>
      <w:lang w:val="en-GB"/>
    </w:rPr>
  </w:style>
  <w:style w:type="table" w:styleId="Svijetlareetkatablice">
    <w:name w:val="Grid Table Light"/>
    <w:basedOn w:val="Obinatablica"/>
    <w:uiPriority w:val="40"/>
    <w:rsid w:val="00CB35C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CB35C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icareetke2-isticanje5">
    <w:name w:val="Grid Table 2 Accent 5"/>
    <w:basedOn w:val="Obinatablica"/>
    <w:uiPriority w:val="47"/>
    <w:rsid w:val="00CB35C0"/>
    <w:tblPr>
      <w:tblStyleRowBandSize w:val="1"/>
      <w:tblStyleColBandSize w:val="1"/>
      <w:tblBorders>
        <w:top w:val="single" w:sz="2" w:space="0" w:color="B0B89A" w:themeColor="accent5" w:themeTint="99"/>
        <w:bottom w:val="single" w:sz="2" w:space="0" w:color="B0B89A" w:themeColor="accent5" w:themeTint="99"/>
        <w:insideH w:val="single" w:sz="2" w:space="0" w:color="B0B89A" w:themeColor="accent5" w:themeTint="99"/>
        <w:insideV w:val="single" w:sz="2" w:space="0" w:color="B0B89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B89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B89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DD" w:themeFill="accent5" w:themeFillTint="33"/>
      </w:tcPr>
    </w:tblStylePr>
    <w:tblStylePr w:type="band1Horz">
      <w:tblPr/>
      <w:tcPr>
        <w:shd w:val="clear" w:color="auto" w:fill="E4E7DD" w:themeFill="accent5" w:themeFillTint="33"/>
      </w:tcPr>
    </w:tblStylePr>
  </w:style>
  <w:style w:type="paragraph" w:styleId="Bezproreda">
    <w:name w:val="No Spacing"/>
    <w:uiPriority w:val="1"/>
    <w:qFormat/>
    <w:rsid w:val="000D75E5"/>
    <w:rPr>
      <w:rFonts w:ascii="Times New Roman" w:eastAsia="Times New Roman" w:hAnsi="Times New Roman" w:cs="Times New Roman"/>
    </w:rPr>
  </w:style>
  <w:style w:type="paragraph" w:styleId="TOCNaslov">
    <w:name w:val="TOC Heading"/>
    <w:basedOn w:val="Naslov1"/>
    <w:next w:val="Normal"/>
    <w:uiPriority w:val="39"/>
    <w:unhideWhenUsed/>
    <w:qFormat/>
    <w:rsid w:val="0080592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28D9F" w:themeColor="accent1" w:themeShade="BF"/>
      <w:sz w:val="32"/>
      <w:szCs w:val="32"/>
      <w:lang w:val="hr-HR" w:eastAsia="hr-HR"/>
    </w:rPr>
  </w:style>
  <w:style w:type="table" w:styleId="Tablicapopisa2-isticanje4">
    <w:name w:val="List Table 2 Accent 4"/>
    <w:basedOn w:val="Obinatablica"/>
    <w:uiPriority w:val="47"/>
    <w:rsid w:val="00612731"/>
    <w:tblPr>
      <w:tblStyleRowBandSize w:val="1"/>
      <w:tblStyleColBandSize w:val="1"/>
      <w:tblBorders>
        <w:top w:val="single" w:sz="4" w:space="0" w:color="A1ACB9" w:themeColor="accent4" w:themeTint="99"/>
        <w:bottom w:val="single" w:sz="4" w:space="0" w:color="A1ACB9" w:themeColor="accent4" w:themeTint="99"/>
        <w:insideH w:val="single" w:sz="4" w:space="0" w:color="A1AC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7" w:themeFill="accent4" w:themeFillTint="33"/>
      </w:tcPr>
    </w:tblStylePr>
    <w:tblStylePr w:type="band1Horz">
      <w:tblPr/>
      <w:tcPr>
        <w:shd w:val="clear" w:color="auto" w:fill="DFE3E7" w:themeFill="accent4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6127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D1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D1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FF4" w:themeFill="accent1" w:themeFillTint="33"/>
      </w:tcPr>
    </w:tblStylePr>
    <w:tblStylePr w:type="band1Horz">
      <w:tblPr/>
      <w:tcPr>
        <w:shd w:val="clear" w:color="auto" w:fill="DCEFF4" w:themeFill="accent1" w:themeFillTint="33"/>
      </w:tcPr>
    </w:tblStylePr>
  </w:style>
  <w:style w:type="table" w:styleId="Tablicapopisa2-isticanje1">
    <w:name w:val="List Table 2 Accent 1"/>
    <w:basedOn w:val="Obinatablica"/>
    <w:uiPriority w:val="47"/>
    <w:rsid w:val="00612731"/>
    <w:tblPr>
      <w:tblStyleRowBandSize w:val="1"/>
      <w:tblStyleColBandSize w:val="1"/>
      <w:tblBorders>
        <w:top w:val="single" w:sz="4" w:space="0" w:color="96D1DE" w:themeColor="accent1" w:themeTint="99"/>
        <w:bottom w:val="single" w:sz="4" w:space="0" w:color="96D1DE" w:themeColor="accent1" w:themeTint="99"/>
        <w:insideH w:val="single" w:sz="4" w:space="0" w:color="96D1D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FF4" w:themeFill="accent1" w:themeFillTint="33"/>
      </w:tcPr>
    </w:tblStylePr>
    <w:tblStylePr w:type="band1Horz">
      <w:tblPr/>
      <w:tcPr>
        <w:shd w:val="clear" w:color="auto" w:fill="DCEFF4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tari%20D\2026\Prora&#269;un%202026\rebalans%20i%20prora&#269;un%202026-202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tari%20D\2026\Prora&#269;un%202026\rebalans%20i%20prora&#269;un%202026-2028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tari%20D\2026\Prora&#269;un%202026\rebalans%20i%20prora&#269;un%202026-2028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tari%20D\2026\Prora&#269;un%202026\rebalans%20i%20prora&#269;un%202026-2028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PRORAČUN ZA 2025. I PROJEKCIJE ZA 2026. I 2027. GODINU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flip="none" rotWithShape="1">
              <a:gsLst>
                <a:gs pos="0">
                  <a:schemeClr val="accent5"/>
                </a:gs>
                <a:gs pos="75000">
                  <a:schemeClr val="accent5">
                    <a:lumMod val="60000"/>
                    <a:lumOff val="40000"/>
                  </a:schemeClr>
                </a:gs>
                <a:gs pos="51000">
                  <a:schemeClr val="accent5">
                    <a:alpha val="75000"/>
                  </a:schemeClr>
                </a:gs>
                <a:gs pos="100000">
                  <a:schemeClr val="accent5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grafovi!$A$3:$A$7</c:f>
              <c:strCache>
                <c:ptCount val="5"/>
                <c:pt idx="0">
                  <c:v>Izvršenje proračuna 2024. godine</c:v>
                </c:pt>
                <c:pt idx="1">
                  <c:v>Plan proračuna 2025. godine</c:v>
                </c:pt>
                <c:pt idx="2">
                  <c:v>Plan proračuna za 2026. godinu</c:v>
                </c:pt>
                <c:pt idx="3">
                  <c:v>Projekcija proračuna za 2027. godinu</c:v>
                </c:pt>
                <c:pt idx="4">
                  <c:v>Projekcija proračuna za 2028. godinu</c:v>
                </c:pt>
              </c:strCache>
            </c:strRef>
          </c:cat>
          <c:val>
            <c:numRef>
              <c:f>grafovi!$B$3:$B$7</c:f>
              <c:numCache>
                <c:formatCode>#,##0.00</c:formatCode>
                <c:ptCount val="5"/>
                <c:pt idx="0">
                  <c:v>4183402.07</c:v>
                </c:pt>
                <c:pt idx="1">
                  <c:v>7085938.9500000002</c:v>
                </c:pt>
                <c:pt idx="2">
                  <c:v>8888019.9399999995</c:v>
                </c:pt>
                <c:pt idx="3">
                  <c:v>7414673.6399999997</c:v>
                </c:pt>
                <c:pt idx="4">
                  <c:v>6213302.4100000001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E7-4214-A529-CB30C2EEEB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55"/>
        <c:overlap val="-70"/>
        <c:axId val="1726001935"/>
        <c:axId val="1726003855"/>
      </c:barChart>
      <c:catAx>
        <c:axId val="17260019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26003855"/>
        <c:crosses val="autoZero"/>
        <c:auto val="1"/>
        <c:lblAlgn val="ctr"/>
        <c:lblOffset val="100"/>
        <c:noMultiLvlLbl val="0"/>
      </c:catAx>
      <c:valAx>
        <c:axId val="1726003855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tx1">
                      <a:lumMod val="5000"/>
                      <a:lumOff val="95000"/>
                    </a:schemeClr>
                  </a:gs>
                  <a:gs pos="0">
                    <a:schemeClr val="tx1">
                      <a:lumMod val="25000"/>
                      <a:lumOff val="7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260019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grafovi!$A$35:$A$41</c:f>
              <c:strCache>
                <c:ptCount val="7"/>
                <c:pt idx="0">
                  <c:v>Prihodi od poreza</c:v>
                </c:pt>
                <c:pt idx="1">
                  <c:v>Prihodi od pomoći</c:v>
                </c:pt>
                <c:pt idx="2">
                  <c:v>Prihodi od imovine</c:v>
                </c:pt>
                <c:pt idx="3">
                  <c:v>Prihodi od pristojbi i naknada</c:v>
                </c:pt>
                <c:pt idx="4">
                  <c:v>Prihodi od prodaje proizvoda i robe te pruženih usluga</c:v>
                </c:pt>
                <c:pt idx="5">
                  <c:v>Kazne, upravne mjere i ostali prihodi</c:v>
                </c:pt>
                <c:pt idx="6">
                  <c:v>Prihodi od prodaje nefinancijske imovine</c:v>
                </c:pt>
              </c:strCache>
            </c:strRef>
          </c:cat>
          <c:val>
            <c:numRef>
              <c:f>grafovi!$B$35:$B$41</c:f>
              <c:numCache>
                <c:formatCode>#,##0.00</c:formatCode>
                <c:ptCount val="7"/>
                <c:pt idx="0">
                  <c:v>1460000</c:v>
                </c:pt>
                <c:pt idx="1">
                  <c:v>6260829.71</c:v>
                </c:pt>
                <c:pt idx="2">
                  <c:v>243526.28</c:v>
                </c:pt>
                <c:pt idx="3">
                  <c:v>397800</c:v>
                </c:pt>
                <c:pt idx="4">
                  <c:v>87929.68</c:v>
                </c:pt>
                <c:pt idx="5">
                  <c:v>340</c:v>
                </c:pt>
                <c:pt idx="6">
                  <c:v>269894.27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E7-40F4-80F9-5548013266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7497823"/>
        <c:axId val="1567498303"/>
      </c:barChart>
      <c:catAx>
        <c:axId val="1567497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67498303"/>
        <c:crosses val="autoZero"/>
        <c:auto val="1"/>
        <c:lblAlgn val="ctr"/>
        <c:lblOffset val="100"/>
        <c:noMultiLvlLbl val="0"/>
      </c:catAx>
      <c:valAx>
        <c:axId val="15674983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674978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Udio rashoda za nefinancijsku imovinu </a:t>
            </a:r>
            <a:r>
              <a:rPr lang="hr-HR" sz="1100"/>
              <a:t>i rashoda poslovanja </a:t>
            </a:r>
            <a:r>
              <a:rPr lang="en-US" sz="1100"/>
              <a:t>u ukupnim rashodima </a:t>
            </a:r>
            <a:r>
              <a:rPr lang="hr-HR" sz="1100"/>
              <a:t>8.981.830,39 EUR</a:t>
            </a:r>
            <a:endParaRPr lang="en-US" sz="1100"/>
          </a:p>
        </c:rich>
      </c:tx>
      <c:layout>
        <c:manualLayout>
          <c:xMode val="edge"/>
          <c:yMode val="edge"/>
          <c:x val="0.15684535195812388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CC69-4814-A5F7-10AE2591CA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CC69-4814-A5F7-10AE2591CA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CC69-4814-A5F7-10AE2591CA4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grafovi!$A$92:$A$94</c:f>
              <c:strCache>
                <c:ptCount val="3"/>
                <c:pt idx="0">
                  <c:v>Rashodi poslovanja</c:v>
                </c:pt>
                <c:pt idx="1">
                  <c:v>Rashodi za nabavu nefinancijske imovine</c:v>
                </c:pt>
                <c:pt idx="2">
                  <c:v>Izdaci</c:v>
                </c:pt>
              </c:strCache>
            </c:strRef>
          </c:cat>
          <c:val>
            <c:numRef>
              <c:f>grafovi!$B$92:$B$94</c:f>
              <c:numCache>
                <c:formatCode>0.00</c:formatCode>
                <c:ptCount val="3"/>
                <c:pt idx="0">
                  <c:v>46.754821541447519</c:v>
                </c:pt>
                <c:pt idx="1">
                  <c:v>52.981867429807927</c:v>
                </c:pt>
                <c:pt idx="2">
                  <c:v>0.2633110287445542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C69-4814-A5F7-10AE2591CA4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kern="1200" cap="none" spc="20" baseline="0">
                <a:solidFill>
                  <a:sysClr val="windowText" lastClr="000000">
                    <a:lumMod val="50000"/>
                    <a:lumOff val="50000"/>
                  </a:sysClr>
                </a:solidFill>
                <a:effectLst/>
              </a:rPr>
              <a:t>Udio prihoda pomoći </a:t>
            </a:r>
            <a:r>
              <a:rPr lang="hr-HR" sz="1200" b="1" i="0" u="none" strike="noStrike" kern="1200" cap="none" spc="20" baseline="0">
                <a:solidFill>
                  <a:sysClr val="windowText" lastClr="000000">
                    <a:lumMod val="50000"/>
                    <a:lumOff val="50000"/>
                  </a:sysClr>
                </a:solidFill>
                <a:effectLst/>
              </a:rPr>
              <a:t>i ostalih prihoda </a:t>
            </a:r>
            <a:r>
              <a:rPr lang="en-US" sz="1200" b="1" i="0" u="none" strike="noStrike" kern="1200" cap="none" spc="20" baseline="0">
                <a:solidFill>
                  <a:sysClr val="windowText" lastClr="000000">
                    <a:lumMod val="50000"/>
                    <a:lumOff val="50000"/>
                  </a:sysClr>
                </a:solidFill>
                <a:effectLst/>
              </a:rPr>
              <a:t>u ukupnim prihodima</a:t>
            </a:r>
            <a:r>
              <a:rPr lang="hr-HR" sz="1200" b="1" i="0" u="none" strike="noStrike" kern="1200" cap="none" spc="20" baseline="0">
                <a:solidFill>
                  <a:sysClr val="windowText" lastClr="000000">
                    <a:lumMod val="50000"/>
                    <a:lumOff val="50000"/>
                  </a:sysClr>
                </a:solidFill>
                <a:effectLst/>
              </a:rPr>
              <a:t> 8.981.830,39 </a:t>
            </a:r>
            <a:endParaRPr lang="hr-H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C51-43F4-9AAA-7B685F41B5F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EC51-43F4-9AAA-7B685F41B5F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EC51-43F4-9AAA-7B685F41B5F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grafovi!$A$63:$A$65</c:f>
              <c:strCache>
                <c:ptCount val="3"/>
                <c:pt idx="0">
                  <c:v>Prihodi poslovanja</c:v>
                </c:pt>
                <c:pt idx="1">
                  <c:v>Prihodi od prodaje nefinancijske imovine</c:v>
                </c:pt>
                <c:pt idx="2">
                  <c:v>Višak prihoda - preneseni</c:v>
                </c:pt>
              </c:strCache>
            </c:strRef>
          </c:cat>
          <c:val>
            <c:numRef>
              <c:f>grafovi!$B$63:$B$65</c:f>
              <c:numCache>
                <c:formatCode>#,##0.00</c:formatCode>
                <c:ptCount val="3"/>
                <c:pt idx="0">
                  <c:v>95.950661455320599</c:v>
                </c:pt>
                <c:pt idx="1">
                  <c:v>3.0048916343431422</c:v>
                </c:pt>
                <c:pt idx="2">
                  <c:v>1.0444469103362795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C51-43F4-9AAA-7B685F41B5F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Gradsko">
  <a:themeElements>
    <a:clrScheme name="Gradsko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Gradsko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Gradsk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E847D-4051-4D2F-9F49-8792C7CC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Đurđević</dc:creator>
  <cp:lastModifiedBy>Anita Đurđević</cp:lastModifiedBy>
  <cp:revision>2</cp:revision>
  <cp:lastPrinted>2020-12-09T11:10:00Z</cp:lastPrinted>
  <dcterms:created xsi:type="dcterms:W3CDTF">2025-12-15T12:22:00Z</dcterms:created>
  <dcterms:modified xsi:type="dcterms:W3CDTF">2025-12-15T12:22:00Z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2019-09-27T00:00:00Z</vt:filetime>
  </property>
</Properties>
</file>