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90F2C" w14:textId="77777777" w:rsidR="00C26369" w:rsidRPr="009546F5" w:rsidRDefault="009F4D26" w:rsidP="009546F5">
      <w:pPr>
        <w:spacing w:line="240" w:lineRule="auto"/>
        <w:jc w:val="center"/>
        <w:rPr>
          <w:rFonts w:cstheme="minorHAnsi"/>
          <w:b/>
        </w:rPr>
      </w:pPr>
      <w:r w:rsidRPr="009546F5">
        <w:rPr>
          <w:rFonts w:cstheme="minorHAnsi"/>
          <w:b/>
        </w:rPr>
        <w:t>OBRAZLOŽENJE</w:t>
      </w:r>
    </w:p>
    <w:p w14:paraId="3FB7C6B4" w14:textId="1F2F5BEA" w:rsidR="00803B11" w:rsidRPr="009546F5" w:rsidRDefault="009C464E" w:rsidP="009546F5">
      <w:pPr>
        <w:spacing w:line="240" w:lineRule="auto"/>
        <w:jc w:val="center"/>
        <w:rPr>
          <w:rFonts w:cstheme="minorHAnsi"/>
          <w:b/>
        </w:rPr>
      </w:pPr>
      <w:r w:rsidRPr="009546F5">
        <w:rPr>
          <w:rFonts w:cstheme="minorHAnsi"/>
          <w:b/>
        </w:rPr>
        <w:t>I</w:t>
      </w:r>
      <w:r w:rsidR="001E7F05" w:rsidRPr="009546F5">
        <w:rPr>
          <w:rFonts w:cstheme="minorHAnsi"/>
          <w:b/>
        </w:rPr>
        <w:t xml:space="preserve">ZMJENA I DOPUNA </w:t>
      </w:r>
      <w:r w:rsidR="009F4D26" w:rsidRPr="009546F5">
        <w:rPr>
          <w:rFonts w:cstheme="minorHAnsi"/>
          <w:b/>
        </w:rPr>
        <w:t>PROGRAMA RASPOLAGANJA</w:t>
      </w:r>
      <w:r w:rsidR="00803B11" w:rsidRPr="009546F5">
        <w:rPr>
          <w:rFonts w:cstheme="minorHAnsi"/>
          <w:b/>
        </w:rPr>
        <w:t xml:space="preserve"> </w:t>
      </w:r>
    </w:p>
    <w:p w14:paraId="084EB851" w14:textId="77777777" w:rsidR="00803B11" w:rsidRPr="009546F5" w:rsidRDefault="009F4D26" w:rsidP="009546F5">
      <w:pPr>
        <w:spacing w:line="240" w:lineRule="auto"/>
        <w:jc w:val="center"/>
        <w:rPr>
          <w:rFonts w:cstheme="minorHAnsi"/>
          <w:b/>
        </w:rPr>
      </w:pPr>
      <w:r w:rsidRPr="009546F5">
        <w:rPr>
          <w:rFonts w:cstheme="minorHAnsi"/>
          <w:b/>
        </w:rPr>
        <w:t>POLJOPRIVREDNIM ZEMLJIŠTEM</w:t>
      </w:r>
      <w:r w:rsidR="00803B11" w:rsidRPr="009546F5">
        <w:rPr>
          <w:rFonts w:cstheme="minorHAnsi"/>
          <w:b/>
        </w:rPr>
        <w:t xml:space="preserve"> U VLASNIŠTVU </w:t>
      </w:r>
      <w:r w:rsidR="00E048A6" w:rsidRPr="009546F5">
        <w:rPr>
          <w:rFonts w:cstheme="minorHAnsi"/>
          <w:b/>
        </w:rPr>
        <w:t>REPUBLIKE HRVATSKE</w:t>
      </w:r>
    </w:p>
    <w:p w14:paraId="4F01B57F" w14:textId="395154CD" w:rsidR="009F4D26" w:rsidRPr="009546F5" w:rsidRDefault="00B004B8" w:rsidP="009546F5">
      <w:pPr>
        <w:spacing w:line="240" w:lineRule="auto"/>
        <w:jc w:val="center"/>
        <w:rPr>
          <w:rFonts w:cstheme="minorHAnsi"/>
          <w:b/>
        </w:rPr>
      </w:pPr>
      <w:r w:rsidRPr="009546F5">
        <w:rPr>
          <w:rFonts w:cstheme="minorHAnsi"/>
          <w:b/>
        </w:rPr>
        <w:t>ZA</w:t>
      </w:r>
      <w:r w:rsidR="009F4D26" w:rsidRPr="009546F5">
        <w:rPr>
          <w:rFonts w:cstheme="minorHAnsi"/>
          <w:b/>
        </w:rPr>
        <w:t xml:space="preserve"> PODRUČJ</w:t>
      </w:r>
      <w:r w:rsidRPr="009546F5">
        <w:rPr>
          <w:rFonts w:cstheme="minorHAnsi"/>
          <w:b/>
        </w:rPr>
        <w:t>E</w:t>
      </w:r>
      <w:r w:rsidR="009F4D26" w:rsidRPr="009546F5">
        <w:rPr>
          <w:rFonts w:cstheme="minorHAnsi"/>
          <w:b/>
        </w:rPr>
        <w:t xml:space="preserve"> OPĆINE </w:t>
      </w:r>
      <w:r w:rsidR="009C464E" w:rsidRPr="009546F5">
        <w:rPr>
          <w:rFonts w:cstheme="minorHAnsi"/>
          <w:b/>
        </w:rPr>
        <w:t>DARDA</w:t>
      </w:r>
    </w:p>
    <w:p w14:paraId="05D4D1A1" w14:textId="77777777" w:rsidR="009F4D26" w:rsidRPr="009546F5" w:rsidRDefault="009F4D26" w:rsidP="009546F5">
      <w:pPr>
        <w:spacing w:line="240" w:lineRule="auto"/>
        <w:rPr>
          <w:rFonts w:cstheme="minorHAnsi"/>
        </w:rPr>
      </w:pPr>
    </w:p>
    <w:p w14:paraId="507AAFF4" w14:textId="35439129" w:rsidR="009F4D26" w:rsidRPr="009546F5" w:rsidRDefault="009F4D26" w:rsidP="009546F5">
      <w:pPr>
        <w:spacing w:line="240" w:lineRule="auto"/>
        <w:jc w:val="both"/>
        <w:rPr>
          <w:rFonts w:cstheme="minorHAnsi"/>
        </w:rPr>
      </w:pPr>
      <w:r w:rsidRPr="009546F5">
        <w:rPr>
          <w:rFonts w:cstheme="minorHAnsi"/>
        </w:rPr>
        <w:t>Predlagatelj:</w:t>
      </w:r>
      <w:r w:rsidRPr="009546F5">
        <w:rPr>
          <w:rFonts w:cstheme="minorHAnsi"/>
        </w:rPr>
        <w:tab/>
      </w:r>
      <w:r w:rsidRPr="009546F5">
        <w:rPr>
          <w:rFonts w:cstheme="minorHAnsi"/>
        </w:rPr>
        <w:tab/>
        <w:t>Općinsk</w:t>
      </w:r>
      <w:r w:rsidR="003B444A" w:rsidRPr="009546F5">
        <w:rPr>
          <w:rFonts w:cstheme="minorHAnsi"/>
        </w:rPr>
        <w:t xml:space="preserve">i </w:t>
      </w:r>
      <w:r w:rsidRPr="009546F5">
        <w:rPr>
          <w:rFonts w:cstheme="minorHAnsi"/>
        </w:rPr>
        <w:t>načelni</w:t>
      </w:r>
      <w:r w:rsidR="003B444A" w:rsidRPr="009546F5">
        <w:rPr>
          <w:rFonts w:cstheme="minorHAnsi"/>
        </w:rPr>
        <w:t>k</w:t>
      </w:r>
      <w:r w:rsidRPr="009546F5">
        <w:rPr>
          <w:rFonts w:cstheme="minorHAnsi"/>
        </w:rPr>
        <w:t xml:space="preserve"> - članak </w:t>
      </w:r>
      <w:r w:rsidR="009C464E" w:rsidRPr="009546F5">
        <w:rPr>
          <w:rFonts w:cstheme="minorHAnsi"/>
        </w:rPr>
        <w:t>5</w:t>
      </w:r>
      <w:r w:rsidR="003B444A" w:rsidRPr="009546F5">
        <w:rPr>
          <w:rFonts w:cstheme="minorHAnsi"/>
        </w:rPr>
        <w:t>2.</w:t>
      </w:r>
      <w:r w:rsidRPr="009546F5">
        <w:rPr>
          <w:rFonts w:cstheme="minorHAnsi"/>
        </w:rPr>
        <w:t xml:space="preserve"> Statuta Općine </w:t>
      </w:r>
      <w:r w:rsidR="009546F5" w:rsidRPr="009546F5">
        <w:rPr>
          <w:rFonts w:cstheme="minorHAnsi"/>
        </w:rPr>
        <w:t>Darda</w:t>
      </w:r>
    </w:p>
    <w:p w14:paraId="0DBD12C3" w14:textId="01E4E8B8" w:rsidR="00803B11" w:rsidRPr="009546F5" w:rsidRDefault="009F4D26" w:rsidP="009546F5">
      <w:pPr>
        <w:spacing w:line="240" w:lineRule="auto"/>
        <w:ind w:left="1416" w:firstLine="708"/>
        <w:jc w:val="both"/>
        <w:rPr>
          <w:rFonts w:cstheme="minorHAnsi"/>
        </w:rPr>
      </w:pPr>
      <w:r w:rsidRPr="009546F5">
        <w:rPr>
          <w:rFonts w:cstheme="minorHAnsi"/>
        </w:rPr>
        <w:t>(</w:t>
      </w:r>
      <w:r w:rsidR="00864265" w:rsidRPr="009546F5">
        <w:rPr>
          <w:rFonts w:cstheme="minorHAnsi"/>
        </w:rPr>
        <w:t>„</w:t>
      </w:r>
      <w:r w:rsidRPr="009546F5">
        <w:rPr>
          <w:rFonts w:cstheme="minorHAnsi"/>
        </w:rPr>
        <w:t xml:space="preserve">Službeni glasnik Općine </w:t>
      </w:r>
      <w:r w:rsidR="009C464E" w:rsidRPr="009546F5">
        <w:rPr>
          <w:rFonts w:cstheme="minorHAnsi"/>
        </w:rPr>
        <w:t>Darda</w:t>
      </w:r>
      <w:r w:rsidR="00864265" w:rsidRPr="009546F5">
        <w:rPr>
          <w:rFonts w:cstheme="minorHAnsi"/>
        </w:rPr>
        <w:t>“</w:t>
      </w:r>
      <w:r w:rsidR="009C464E" w:rsidRPr="009546F5">
        <w:rPr>
          <w:rFonts w:cstheme="minorHAnsi"/>
        </w:rPr>
        <w:t xml:space="preserve"> br.</w:t>
      </w:r>
      <w:r w:rsidRPr="009546F5">
        <w:rPr>
          <w:rFonts w:cstheme="minorHAnsi"/>
        </w:rPr>
        <w:t xml:space="preserve"> </w:t>
      </w:r>
      <w:r w:rsidR="009C464E" w:rsidRPr="009546F5">
        <w:rPr>
          <w:rFonts w:cstheme="minorHAnsi"/>
        </w:rPr>
        <w:t>4/21- pročišćeni tekst</w:t>
      </w:r>
      <w:r w:rsidRPr="009546F5">
        <w:rPr>
          <w:rFonts w:cstheme="minorHAnsi"/>
        </w:rPr>
        <w:t>)</w:t>
      </w:r>
      <w:r w:rsidR="00803B11" w:rsidRPr="009546F5">
        <w:rPr>
          <w:rFonts w:cstheme="minorHAnsi"/>
        </w:rPr>
        <w:t xml:space="preserve"> te </w:t>
      </w:r>
    </w:p>
    <w:p w14:paraId="298584A1" w14:textId="3132C843" w:rsidR="00803B11" w:rsidRPr="009546F5" w:rsidRDefault="00803B11" w:rsidP="009546F5">
      <w:pPr>
        <w:spacing w:line="240" w:lineRule="auto"/>
        <w:ind w:left="1416" w:firstLine="708"/>
        <w:jc w:val="both"/>
        <w:rPr>
          <w:rFonts w:cstheme="minorHAnsi"/>
        </w:rPr>
      </w:pPr>
      <w:r w:rsidRPr="009546F5">
        <w:rPr>
          <w:rFonts w:cstheme="minorHAnsi"/>
        </w:rPr>
        <w:t>članak 29. Zakona o poljoprivrednom zemljištu (</w:t>
      </w:r>
      <w:r w:rsidR="00864265" w:rsidRPr="009546F5">
        <w:rPr>
          <w:rFonts w:cstheme="minorHAnsi"/>
        </w:rPr>
        <w:t>„</w:t>
      </w:r>
      <w:r w:rsidRPr="009546F5">
        <w:rPr>
          <w:rFonts w:cstheme="minorHAnsi"/>
        </w:rPr>
        <w:t xml:space="preserve">Narodne </w:t>
      </w:r>
    </w:p>
    <w:p w14:paraId="023DDA67" w14:textId="619B6E51" w:rsidR="00803B11" w:rsidRPr="009546F5" w:rsidRDefault="00803B11" w:rsidP="009546F5">
      <w:pPr>
        <w:spacing w:line="240" w:lineRule="auto"/>
        <w:ind w:left="1416" w:firstLine="708"/>
        <w:jc w:val="both"/>
        <w:rPr>
          <w:rFonts w:cstheme="minorHAnsi"/>
        </w:rPr>
      </w:pPr>
      <w:r w:rsidRPr="009546F5">
        <w:rPr>
          <w:rFonts w:cstheme="minorHAnsi"/>
        </w:rPr>
        <w:t>novine</w:t>
      </w:r>
      <w:r w:rsidR="00864265" w:rsidRPr="009546F5">
        <w:rPr>
          <w:rFonts w:cstheme="minorHAnsi"/>
        </w:rPr>
        <w:t>“</w:t>
      </w:r>
      <w:r w:rsidR="009C464E" w:rsidRPr="009546F5">
        <w:rPr>
          <w:rFonts w:cstheme="minorHAnsi"/>
        </w:rPr>
        <w:t xml:space="preserve"> br.</w:t>
      </w:r>
      <w:r w:rsidRPr="009546F5">
        <w:rPr>
          <w:rFonts w:cstheme="minorHAnsi"/>
        </w:rPr>
        <w:t>20/18</w:t>
      </w:r>
      <w:r w:rsidR="001E7F05" w:rsidRPr="009546F5">
        <w:rPr>
          <w:rFonts w:cstheme="minorHAnsi"/>
        </w:rPr>
        <w:t>, 115/18, 98/19</w:t>
      </w:r>
      <w:r w:rsidR="00C92AA2" w:rsidRPr="009546F5">
        <w:rPr>
          <w:rFonts w:cstheme="minorHAnsi"/>
        </w:rPr>
        <w:t>, 57/22</w:t>
      </w:r>
      <w:r w:rsidRPr="009546F5">
        <w:rPr>
          <w:rFonts w:cstheme="minorHAnsi"/>
        </w:rPr>
        <w:t>)</w:t>
      </w:r>
    </w:p>
    <w:p w14:paraId="19F04097" w14:textId="77777777" w:rsidR="009F4D26" w:rsidRPr="009546F5" w:rsidRDefault="009F4D26" w:rsidP="009546F5">
      <w:pPr>
        <w:spacing w:line="240" w:lineRule="auto"/>
        <w:ind w:left="1416" w:firstLine="708"/>
        <w:rPr>
          <w:rFonts w:cstheme="minorHAnsi"/>
        </w:rPr>
      </w:pPr>
    </w:p>
    <w:p w14:paraId="30EAA9EA" w14:textId="77777777" w:rsidR="009F4D26" w:rsidRPr="009546F5" w:rsidRDefault="009F4D26" w:rsidP="009546F5">
      <w:pPr>
        <w:spacing w:line="240" w:lineRule="auto"/>
        <w:rPr>
          <w:rFonts w:cstheme="minorHAnsi"/>
        </w:rPr>
      </w:pPr>
      <w:r w:rsidRPr="009546F5">
        <w:rPr>
          <w:rFonts w:cstheme="minorHAnsi"/>
        </w:rPr>
        <w:t>Pravna osnova:</w:t>
      </w:r>
      <w:r w:rsidRPr="009546F5">
        <w:rPr>
          <w:rFonts w:cstheme="minorHAnsi"/>
        </w:rPr>
        <w:tab/>
        <w:t xml:space="preserve">članak 29. Zakona o poljoprivrednom zemljištu </w:t>
      </w:r>
    </w:p>
    <w:p w14:paraId="3585444F" w14:textId="77777777" w:rsidR="009F4D26" w:rsidRPr="009546F5" w:rsidRDefault="009F4D26" w:rsidP="009546F5">
      <w:pPr>
        <w:spacing w:line="240" w:lineRule="auto"/>
        <w:rPr>
          <w:rFonts w:cstheme="minorHAnsi"/>
        </w:rPr>
      </w:pPr>
    </w:p>
    <w:p w14:paraId="40FEC017" w14:textId="15DBCEF7" w:rsidR="009F4D26" w:rsidRPr="009546F5" w:rsidRDefault="009F4D26" w:rsidP="009546F5">
      <w:pPr>
        <w:spacing w:line="240" w:lineRule="auto"/>
        <w:rPr>
          <w:rFonts w:cstheme="minorHAnsi"/>
          <w:b/>
        </w:rPr>
      </w:pPr>
      <w:r w:rsidRPr="009546F5">
        <w:rPr>
          <w:rFonts w:cstheme="minorHAnsi"/>
          <w:b/>
        </w:rPr>
        <w:t>Obrazloženje prijedloga općeg akta:</w:t>
      </w:r>
    </w:p>
    <w:p w14:paraId="081C139E" w14:textId="77777777" w:rsidR="009F4D26" w:rsidRPr="009546F5" w:rsidRDefault="009F4D26" w:rsidP="009546F5">
      <w:pPr>
        <w:spacing w:after="0" w:line="240" w:lineRule="auto"/>
        <w:rPr>
          <w:rFonts w:cstheme="minorHAnsi"/>
        </w:rPr>
      </w:pPr>
      <w:r w:rsidRPr="009546F5">
        <w:rPr>
          <w:rFonts w:cstheme="minorHAnsi"/>
        </w:rPr>
        <w:t>Odredbama članka 29. Zakona o poljoprivrednom zemljištu propisano je:</w:t>
      </w:r>
    </w:p>
    <w:p w14:paraId="36AF4CE2"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 Poljoprivrednim zemljištem u vlasništvu države raspolaže se na temelju Programa raspolaganja poljoprivrednim zemljištem u vlasništvu države (u daljnjem tekstu: Program) koji se donosi za područje jedinice lokalne samouprave odnosno Grada Zagreba.</w:t>
      </w:r>
    </w:p>
    <w:p w14:paraId="7E255270"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(2) Iznimno od stavka 1. ovoga članka Ministarstvo raspolaže poljoprivrednim zemljištem u vlasništvu države u skladu s odredbama članaka 51., 58., 72., 73., 77. i 80. ovoga Zakona.</w:t>
      </w:r>
    </w:p>
    <w:p w14:paraId="78D898CE"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(3) Iznimno od stavka 1. ovoga članka poljoprivrednim zemljištem u vlasništvu države na kojem je nezakonito izgrađena zgrada ozakonjena u postupku propisanom zakonom kojim je uređeno ozakonjenje nezakonito izgrađenih zgrada, raspolaže ministarstvo nadležno za upravljanje državnom imovinom u skladu sa zakonom kojim se uređuje upravljanje državnom imovinom.</w:t>
      </w:r>
    </w:p>
    <w:p w14:paraId="286B1C6F"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(4) Jedinice lokalne samouprave odnosno Grad Zagreb i Ministarstvo ovlašteni su bez naknade pristupiti podacima i koristiti podatke o poljoprivrednom zemljištu koji su u nadležnosti države, sudova, tijela državne uprave i pravnih osoba čiji je osnivač Republika Hrvatska, kao i iz drugih evidencija.</w:t>
      </w:r>
    </w:p>
    <w:p w14:paraId="302EA312"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(5) Prijedlog Programa s popratnom dokumentacijom izlaže se na javni uvid u trajanju od 15 dana u sjedištu jedinice lokalne samouprave odnosno Grada Zagreba.</w:t>
      </w:r>
    </w:p>
    <w:p w14:paraId="0832ADBA"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(6) Obavijest o početku javnog uvida u prijedlog Programa objavit će se u javnom glasilu i na oglasnoj ploči i mrežnoj stranici jedinice lokalne samouprave odnosno Grada Zagreba.</w:t>
      </w:r>
    </w:p>
    <w:p w14:paraId="1B3F774A"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(7) Zainteresirane osobe mogu dati primjedbe na prijedlog Programa najkasnije do isteka roka iz stavka 5. ovoga članka.</w:t>
      </w:r>
    </w:p>
    <w:p w14:paraId="6CD006A1"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(8) Nakon razmatranja primjedbi jedinice lokalne samouprave odnosno Grad Zagreb prijedlog Programa s popratnom dokumentacijom dostavljaju na prethodnu suglasnost Ministarstvu.</w:t>
      </w:r>
    </w:p>
    <w:p w14:paraId="039B49E6"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lastRenderedPageBreak/>
        <w:t>(9) Ministarstvo daje prethodnu suglasnost iz stavka 8. ovoga članka u roku od 30 dana od dana primitka potpune dokumentacije odnosno u istom roku odbija davanje prethodne suglasnosti s obrazloženjem.</w:t>
      </w:r>
    </w:p>
    <w:p w14:paraId="776EB652"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(10) Nakon dobivanja prethodne suglasnosti Ministarstva Program donosi općinsko ili gradsko vijeće za svoje područje na prijedlog općinskog načelnika odnosno gradonačelnika odnosno Gradska skupština Grada Zagreba za svoje područje na prvoj sjednici općinskog ili gradskog vijeća odnosno Gradske skupštine Grada Zagreba koja se održava nakon primitka prethodne suglasnosti.</w:t>
      </w:r>
    </w:p>
    <w:p w14:paraId="6D5569B6"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(11) Jedinice lokalne samouprave odnosno Grad Zagreb ne mogu raspolagati poljoprivrednim zemljištem u vlasništvu države prije donošenja Programa.</w:t>
      </w:r>
    </w:p>
    <w:p w14:paraId="00C56A20"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(12) Za prijedlog Programa iz stavka 5. ovoga članka te za njegovu izmjenu i/ili dopunu potrebno je ishoditi mišljenja nadležnog tijela za zaštitu okoliša o potrebi provedbe strateške procjene utjecaja na okoliš.</w:t>
      </w:r>
    </w:p>
    <w:p w14:paraId="3084FC9B"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(13) Za prijedlog Programa iz stavka 5. ovoga članka te za njegovu izmjenu i/ili dopunu, koji može imati značajan negativan utjecaj na ciljeve očuvanja i cjelovitost područja ekološke mreže, obvezna je provedba postupka ocjene prihvatljivosti za ekološku mrežu prema zakonu kojim se uređuje zaštita prirode.</w:t>
      </w:r>
    </w:p>
    <w:p w14:paraId="78DB9BE0"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(14) U Program ne može biti uključeno poljoprivredno zemljište u vlasništvu države unutar strogog rezervata proglašenog sukladno posebnom zakonu kojim se uređuje zaštita prirode.</w:t>
      </w:r>
    </w:p>
    <w:p w14:paraId="1BF7D65A"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(15) Poljoprivredno zemljište u vlasništvu države unutar nacionalnog parka proglašenog sukladno posebnom zakonu kojim se uređuje zaštita prirode, na zahtjev javne ustanove osnovane za upravljanje nacionalnim parkom, mora se odrediti u Programu kao površina koju privremeno koristi ta javna ustanova.</w:t>
      </w:r>
    </w:p>
    <w:p w14:paraId="0DE70135"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(16) Programi se mogu mijenjati i dopunjavati na način koji je propisan za donošenje Programa.</w:t>
      </w:r>
    </w:p>
    <w:p w14:paraId="7225FECE"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(17) Programi moraju biti usklađeni s prostornim planovima.</w:t>
      </w:r>
    </w:p>
    <w:p w14:paraId="36AD19A6" w14:textId="77777777" w:rsidR="00C92AA2" w:rsidRPr="009546F5" w:rsidRDefault="00C92AA2"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(18) Dokumentaciju potrebnu za donošenje Programa propisuje ministar pravilnikom.</w:t>
      </w:r>
    </w:p>
    <w:p w14:paraId="6E24D574" w14:textId="77777777" w:rsidR="009546F5" w:rsidRDefault="009546F5" w:rsidP="009546F5">
      <w:pPr>
        <w:pStyle w:val="box457104"/>
        <w:jc w:val="both"/>
        <w:rPr>
          <w:rFonts w:asciiTheme="minorHAnsi" w:hAnsiTheme="minorHAnsi" w:cstheme="minorHAnsi"/>
          <w:sz w:val="22"/>
          <w:szCs w:val="22"/>
        </w:rPr>
      </w:pPr>
    </w:p>
    <w:p w14:paraId="77E8BD78" w14:textId="322C722C" w:rsidR="009F4D26" w:rsidRPr="009546F5" w:rsidRDefault="009F4D26" w:rsidP="009546F5">
      <w:pPr>
        <w:pStyle w:val="box457104"/>
        <w:spacing w:after="0" w:afterAutospacing="0"/>
        <w:jc w:val="both"/>
        <w:rPr>
          <w:rFonts w:asciiTheme="minorHAnsi" w:hAnsiTheme="minorHAnsi" w:cstheme="minorHAnsi"/>
          <w:sz w:val="22"/>
          <w:szCs w:val="22"/>
        </w:rPr>
      </w:pPr>
      <w:r w:rsidRPr="009546F5">
        <w:rPr>
          <w:rFonts w:asciiTheme="minorHAnsi" w:hAnsiTheme="minorHAnsi" w:cstheme="minorHAnsi"/>
          <w:sz w:val="22"/>
          <w:szCs w:val="22"/>
        </w:rPr>
        <w:t>Nadalje, odredbama članka 30. propisano je:</w:t>
      </w:r>
    </w:p>
    <w:p w14:paraId="36B9979C" w14:textId="26B673DE" w:rsidR="009F4D26" w:rsidRPr="009546F5" w:rsidRDefault="009F4D26"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„(1) Program iz članka 29. ovoga Zakona treba sadržavati</w:t>
      </w:r>
      <w:r w:rsidR="00037556" w:rsidRPr="009546F5">
        <w:rPr>
          <w:rFonts w:asciiTheme="minorHAnsi" w:hAnsiTheme="minorHAnsi" w:cstheme="minorHAnsi"/>
          <w:i/>
          <w:sz w:val="22"/>
          <w:szCs w:val="22"/>
        </w:rPr>
        <w:t xml:space="preserve"> podatke s iskazanom prostornom komponentom</w:t>
      </w:r>
      <w:r w:rsidRPr="009546F5">
        <w:rPr>
          <w:rFonts w:asciiTheme="minorHAnsi" w:hAnsiTheme="minorHAnsi" w:cstheme="minorHAnsi"/>
          <w:i/>
          <w:sz w:val="22"/>
          <w:szCs w:val="22"/>
        </w:rPr>
        <w:t>:</w:t>
      </w:r>
    </w:p>
    <w:p w14:paraId="08FA0E9F"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ukupnu površinu poljoprivrednog zemljišta u vlasništvu države na području jedinice lokalne samouprave</w:t>
      </w:r>
    </w:p>
    <w:p w14:paraId="7C0FA028"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podatke o dosadašnjem raspolaganju poljoprivrednim zemljištem u vlasništvu države na području jedinice lokalne samouprave i vrstu proizvodnje na istom</w:t>
      </w:r>
    </w:p>
    <w:p w14:paraId="7E8019C9"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površine određene za povrat i za zamjenu kada nije moguć povrat imovine oduzete za vrijeme jugoslavenske komunističke vladavine</w:t>
      </w:r>
    </w:p>
    <w:p w14:paraId="136A2C95"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površine određene za prodaju, jednokratno, maksimalno do 25% ukupne površine poljoprivrednog zemljišta u vlasništvu države</w:t>
      </w:r>
    </w:p>
    <w:p w14:paraId="6B3D0DA5"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površine određene za zakup</w:t>
      </w:r>
    </w:p>
    <w:p w14:paraId="204151A7"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lastRenderedPageBreak/>
        <w:t>površine određene za zakup za ribnjake</w:t>
      </w:r>
    </w:p>
    <w:p w14:paraId="04E63DED"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površine određene za zakup zajedničkih pašnjaka</w:t>
      </w:r>
    </w:p>
    <w:p w14:paraId="0FE260CD" w14:textId="77777777" w:rsidR="009F4D26" w:rsidRPr="009546F5" w:rsidRDefault="009F4D26" w:rsidP="009546F5">
      <w:pPr>
        <w:pStyle w:val="box457104"/>
        <w:numPr>
          <w:ilvl w:val="0"/>
          <w:numId w:val="2"/>
        </w:numPr>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površine određene za ostale namjene, odnosno površine koje se mogu privesti nekoj drugoj nepoljoprivrednoj namjeni, jednokratno, maksimalno do 5% ukupne površine poljoprivrednog zemljišta u vlasništvu države.</w:t>
      </w:r>
    </w:p>
    <w:p w14:paraId="0819E715" w14:textId="12DEB6DF" w:rsidR="009F4D26" w:rsidRPr="009546F5" w:rsidRDefault="009F4D26"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w:t>
      </w:r>
      <w:r w:rsidR="00037556" w:rsidRPr="009546F5">
        <w:rPr>
          <w:rFonts w:asciiTheme="minorHAnsi" w:hAnsiTheme="minorHAnsi" w:cstheme="minorHAnsi"/>
          <w:i/>
          <w:sz w:val="22"/>
          <w:szCs w:val="22"/>
        </w:rPr>
        <w:t>2</w:t>
      </w:r>
      <w:r w:rsidRPr="009546F5">
        <w:rPr>
          <w:rFonts w:asciiTheme="minorHAnsi" w:hAnsiTheme="minorHAnsi" w:cstheme="minorHAnsi"/>
          <w:i/>
          <w:sz w:val="22"/>
          <w:szCs w:val="22"/>
        </w:rPr>
        <w:t>) Minirane površine poljoprivrednog zemljišta u vlasništvu države moraju biti posebno označene i mogu se predvidjeti za zakup.</w:t>
      </w:r>
    </w:p>
    <w:p w14:paraId="64C2D1D1" w14:textId="5BFF4887" w:rsidR="009F4D26" w:rsidRPr="009546F5" w:rsidRDefault="009F4D26"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w:t>
      </w:r>
      <w:r w:rsidR="00037556" w:rsidRPr="009546F5">
        <w:rPr>
          <w:rFonts w:asciiTheme="minorHAnsi" w:hAnsiTheme="minorHAnsi" w:cstheme="minorHAnsi"/>
          <w:i/>
          <w:sz w:val="22"/>
          <w:szCs w:val="22"/>
        </w:rPr>
        <w:t>3</w:t>
      </w:r>
      <w:r w:rsidRPr="009546F5">
        <w:rPr>
          <w:rFonts w:asciiTheme="minorHAnsi" w:hAnsiTheme="minorHAnsi" w:cstheme="minorHAnsi"/>
          <w:i/>
          <w:sz w:val="22"/>
          <w:szCs w:val="22"/>
        </w:rPr>
        <w:t>) Površine na kojima je izgrađen sustav podzemne odvodnje i one na kojima se planira izgraditi ili je već izgrađen sustav javnog navodnjavanja i one na kojima postoji višegodišnji nasad moraju biti posebno označene.</w:t>
      </w:r>
    </w:p>
    <w:p w14:paraId="20F819D1" w14:textId="4C212BFF" w:rsidR="009F4D26" w:rsidRPr="009546F5" w:rsidRDefault="009F4D26" w:rsidP="009546F5">
      <w:pPr>
        <w:pStyle w:val="box45710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w:t>
      </w:r>
      <w:r w:rsidR="00037556" w:rsidRPr="009546F5">
        <w:rPr>
          <w:rFonts w:asciiTheme="minorHAnsi" w:hAnsiTheme="minorHAnsi" w:cstheme="minorHAnsi"/>
          <w:i/>
          <w:sz w:val="22"/>
          <w:szCs w:val="22"/>
        </w:rPr>
        <w:t>4</w:t>
      </w:r>
      <w:r w:rsidRPr="009546F5">
        <w:rPr>
          <w:rFonts w:asciiTheme="minorHAnsi" w:hAnsiTheme="minorHAnsi" w:cstheme="minorHAnsi"/>
          <w:i/>
          <w:sz w:val="22"/>
          <w:szCs w:val="22"/>
        </w:rPr>
        <w:t>) Ukupna površina poljoprivrednog zemljišta u vlasništvu države utvrđuje se prema službenim podacima katastra, zemljišnih knjiga i druge dokumentacije.“</w:t>
      </w:r>
    </w:p>
    <w:p w14:paraId="69032710" w14:textId="3AB541E5" w:rsidR="00943BD9" w:rsidRPr="009546F5" w:rsidRDefault="00943BD9" w:rsidP="009546F5">
      <w:pPr>
        <w:pStyle w:val="box457264"/>
        <w:spacing w:after="0" w:afterAutospacing="0"/>
        <w:jc w:val="both"/>
        <w:rPr>
          <w:rFonts w:asciiTheme="minorHAnsi" w:hAnsiTheme="minorHAnsi" w:cstheme="minorHAnsi"/>
          <w:sz w:val="22"/>
          <w:szCs w:val="22"/>
        </w:rPr>
      </w:pPr>
      <w:r w:rsidRPr="009546F5">
        <w:rPr>
          <w:rFonts w:asciiTheme="minorHAnsi" w:hAnsiTheme="minorHAnsi" w:cstheme="minorHAnsi"/>
          <w:sz w:val="22"/>
          <w:szCs w:val="22"/>
        </w:rPr>
        <w:t xml:space="preserve">Sukladno odredbi članka 2. Pravilnika o dokumentaciji potrebnoj za donošenje programa raspolaganja poljoprivrednim zemljištem u vlasništvu Republike Hrvatske (Narodne novine, broj </w:t>
      </w:r>
      <w:r w:rsidR="00037556" w:rsidRPr="009546F5">
        <w:rPr>
          <w:rFonts w:asciiTheme="minorHAnsi" w:hAnsiTheme="minorHAnsi" w:cstheme="minorHAnsi"/>
          <w:sz w:val="22"/>
          <w:szCs w:val="22"/>
        </w:rPr>
        <w:t>98/22</w:t>
      </w:r>
      <w:r w:rsidRPr="009546F5">
        <w:rPr>
          <w:rFonts w:asciiTheme="minorHAnsi" w:hAnsiTheme="minorHAnsi" w:cstheme="minorHAnsi"/>
          <w:sz w:val="22"/>
          <w:szCs w:val="22"/>
        </w:rPr>
        <w:t>), dokumentacija potrebna za donošenje Programa je sljedeća:</w:t>
      </w:r>
    </w:p>
    <w:p w14:paraId="64F7BB51" w14:textId="77777777" w:rsidR="00037556" w:rsidRPr="009546F5" w:rsidRDefault="00C120F7"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w:t>
      </w:r>
      <w:r w:rsidR="00037556" w:rsidRPr="009546F5">
        <w:rPr>
          <w:rFonts w:asciiTheme="minorHAnsi" w:hAnsiTheme="minorHAnsi" w:cstheme="minorHAnsi"/>
          <w:i/>
          <w:sz w:val="22"/>
          <w:szCs w:val="22"/>
        </w:rPr>
        <w:t>1. Katastarski plan za područje jedinice lokalne samouprave odnosno Grada Zagreba za koju se donosi Program, putem WFS usluge Državne geodetske uprave.</w:t>
      </w:r>
    </w:p>
    <w:p w14:paraId="0EDA0C7D"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2. Zemljišnoknjižni izvadci i Posjedovni listovi iz e-baze Preglednika katastarskih podataka DGU i ZIS aplikacije zemljišno knjižnog sustava Ministarstva pravosuđa (osim iznimno u slučajevima kada ne postoji e-zemljišno knjižni izvadak).</w:t>
      </w:r>
    </w:p>
    <w:p w14:paraId="5E1DC6C3"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3. Uvjerenje Upravnog tijela, nadležnog za prostorno uređenje na području jedinice lokalne samouprave i regionalne samouprave, odnosno Grada Zagreba da se prema važećem prostornom planu uređenja, predmetne čestice nalaze izvan granica građevinskog područja s potrebnom oznakom ako se radi o osobito vrijednom (P1) i vrijednom (P2) poljoprivrednom zemljištu.</w:t>
      </w:r>
    </w:p>
    <w:p w14:paraId="375F1F40" w14:textId="49122D35"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4. Očitovanje tijela regionalne samouprave, odnosno Grada Zagreba o površini koju je potrebno osigurati kao nadoknadu za oduzetu imovinu (s obzirom na podnijete a neriješene zahtjeve) sukladno Zakonu o nakn</w:t>
      </w:r>
      <w:r w:rsidR="009546F5" w:rsidRPr="009546F5">
        <w:rPr>
          <w:rFonts w:asciiTheme="minorHAnsi" w:hAnsiTheme="minorHAnsi" w:cstheme="minorHAnsi"/>
          <w:i/>
          <w:sz w:val="22"/>
          <w:szCs w:val="22"/>
        </w:rPr>
        <w:t>a</w:t>
      </w:r>
      <w:r w:rsidRPr="009546F5">
        <w:rPr>
          <w:rFonts w:asciiTheme="minorHAnsi" w:hAnsiTheme="minorHAnsi" w:cstheme="minorHAnsi"/>
          <w:i/>
          <w:sz w:val="22"/>
          <w:szCs w:val="22"/>
        </w:rPr>
        <w:t>adi za imovinu oduzetu za vrijeme jugoslavenske komunističke vladavine (»Narodne novine«, broj 92/96, 39/99, 92/99, 43/00, 131/00, 27/01, 34/01, 118/01, 80/02 i 81/02).</w:t>
      </w:r>
    </w:p>
    <w:p w14:paraId="573EB01E"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5. Uvjerenje Hrvatskih šuma d.o.o. – nadležne Uprave šuma da predmetne čestice nisu obuhvaćene šumskogospodarskom osnovom.</w:t>
      </w:r>
    </w:p>
    <w:p w14:paraId="1AF74EE2"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6. Očitovanje Hrvatskih voda jesu li i koje predmetne čestice javno vodno dobro.</w:t>
      </w:r>
    </w:p>
    <w:p w14:paraId="1C9A01BB"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7. Uvjerenje Upravnog tijela, nadležnog za prostorno uređenje na području jedinice lokalne samouprave i regionalne samouprave, odnosno Grada Zagreba nadležnog za prostorno uređenje, jesu li i koje predmetne čestice u obuhvatu postojećeg i/ili planiranog sustava javnog navodnjavanja.</w:t>
      </w:r>
    </w:p>
    <w:p w14:paraId="5B411D4D"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8. Očitovanje Ministarstva unutarnjih poslova o katastarskim česticama i površinama poljoprivrednog zemljišta u vlasništvu drža</w:t>
      </w:r>
      <w:r w:rsidRPr="009546F5">
        <w:rPr>
          <w:rFonts w:asciiTheme="minorHAnsi" w:hAnsiTheme="minorHAnsi" w:cstheme="minorHAnsi"/>
          <w:i/>
          <w:sz w:val="22"/>
          <w:szCs w:val="22"/>
        </w:rPr>
        <w:softHyphen/>
        <w:t>ve koje su minirane, a nalaze se na području jedinice lokalne samouprave koje su na popisu miniranih i minski sumnjivih područja.</w:t>
      </w:r>
    </w:p>
    <w:p w14:paraId="6C0DFFEB"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t>9. Mišljenje nadležnog tijela za zaštitu okoliša o potrebi provedbe strateške procjene utjecaja na okoliš.</w:t>
      </w:r>
    </w:p>
    <w:p w14:paraId="701FB841" w14:textId="77777777" w:rsidR="00037556" w:rsidRPr="009546F5" w:rsidRDefault="00037556" w:rsidP="009546F5">
      <w:pPr>
        <w:pStyle w:val="box457264"/>
        <w:spacing w:after="0" w:afterAutospacing="0"/>
        <w:jc w:val="both"/>
        <w:rPr>
          <w:rFonts w:asciiTheme="minorHAnsi" w:hAnsiTheme="minorHAnsi" w:cstheme="minorHAnsi"/>
          <w:i/>
          <w:sz w:val="22"/>
          <w:szCs w:val="22"/>
        </w:rPr>
      </w:pPr>
      <w:r w:rsidRPr="009546F5">
        <w:rPr>
          <w:rFonts w:asciiTheme="minorHAnsi" w:hAnsiTheme="minorHAnsi" w:cstheme="minorHAnsi"/>
          <w:i/>
          <w:sz w:val="22"/>
          <w:szCs w:val="22"/>
        </w:rPr>
        <w:lastRenderedPageBreak/>
        <w:t>10. Očitovanje nadležne institucije jesu li predmetne čestice unutar strogog rezervata i unutar nacionalnog parka ako se na području jedinice lokalne samouprave nalazi nacionalni park.</w:t>
      </w:r>
    </w:p>
    <w:p w14:paraId="57193D2F" w14:textId="0BEC1F51" w:rsidR="004C4E16" w:rsidRPr="009546F5" w:rsidRDefault="004C4E16" w:rsidP="009546F5">
      <w:pPr>
        <w:pStyle w:val="box457264"/>
        <w:spacing w:after="0" w:afterAutospacing="0"/>
        <w:jc w:val="both"/>
        <w:rPr>
          <w:rFonts w:asciiTheme="minorHAnsi" w:hAnsiTheme="minorHAnsi" w:cstheme="minorHAnsi"/>
          <w:sz w:val="22"/>
          <w:szCs w:val="22"/>
        </w:rPr>
      </w:pPr>
      <w:r w:rsidRPr="009546F5">
        <w:rPr>
          <w:rFonts w:asciiTheme="minorHAnsi" w:hAnsiTheme="minorHAnsi" w:cstheme="minorHAnsi"/>
          <w:sz w:val="22"/>
          <w:szCs w:val="22"/>
        </w:rPr>
        <w:t xml:space="preserve">Zakonom o poljoprivrednom zemljištu koji je stupio na snagu </w:t>
      </w:r>
      <w:r w:rsidR="00F20AAF" w:rsidRPr="009546F5">
        <w:rPr>
          <w:rFonts w:asciiTheme="minorHAnsi" w:hAnsiTheme="minorHAnsi" w:cstheme="minorHAnsi"/>
          <w:sz w:val="22"/>
          <w:szCs w:val="22"/>
        </w:rPr>
        <w:t>0</w:t>
      </w:r>
      <w:r w:rsidRPr="009546F5">
        <w:rPr>
          <w:rFonts w:asciiTheme="minorHAnsi" w:hAnsiTheme="minorHAnsi" w:cstheme="minorHAnsi"/>
          <w:sz w:val="22"/>
          <w:szCs w:val="22"/>
        </w:rPr>
        <w:t>9.</w:t>
      </w:r>
      <w:r w:rsidR="00F20AAF" w:rsidRPr="009546F5">
        <w:rPr>
          <w:rFonts w:asciiTheme="minorHAnsi" w:hAnsiTheme="minorHAnsi" w:cstheme="minorHAnsi"/>
          <w:sz w:val="22"/>
          <w:szCs w:val="22"/>
        </w:rPr>
        <w:t>0</w:t>
      </w:r>
      <w:r w:rsidRPr="009546F5">
        <w:rPr>
          <w:rFonts w:asciiTheme="minorHAnsi" w:hAnsiTheme="minorHAnsi" w:cstheme="minorHAnsi"/>
          <w:sz w:val="22"/>
          <w:szCs w:val="22"/>
        </w:rPr>
        <w:t xml:space="preserve">3.2018. propisano je da jedinice lokalne samouprave donose programe raspolaganja poljoprivrednim zemljištem u vlasništvu </w:t>
      </w:r>
      <w:r w:rsidR="00760147" w:rsidRPr="009546F5">
        <w:rPr>
          <w:rFonts w:asciiTheme="minorHAnsi" w:hAnsiTheme="minorHAnsi" w:cstheme="minorHAnsi"/>
          <w:sz w:val="22"/>
          <w:szCs w:val="22"/>
        </w:rPr>
        <w:t xml:space="preserve">Republike Hrvatske </w:t>
      </w:r>
      <w:r w:rsidRPr="009546F5">
        <w:rPr>
          <w:rFonts w:asciiTheme="minorHAnsi" w:hAnsiTheme="minorHAnsi" w:cstheme="minorHAnsi"/>
          <w:sz w:val="22"/>
          <w:szCs w:val="22"/>
        </w:rPr>
        <w:t>na svom području. Isti se imaju donijeti u roku 3 mjeseca od stupanja na snagu Zakona (do 9. 6. 2018.), s tim da je Pravilnik o dokumentaciji potrebnoj za donošenje programa raspolaganja poljoprivrednim zemljištem u vlasništvu Republike Hrvatske (Narodne novine, broj 27/18) stupio na snagu 29.</w:t>
      </w:r>
      <w:r w:rsidR="00F20AAF" w:rsidRPr="009546F5">
        <w:rPr>
          <w:rFonts w:asciiTheme="minorHAnsi" w:hAnsiTheme="minorHAnsi" w:cstheme="minorHAnsi"/>
          <w:sz w:val="22"/>
          <w:szCs w:val="22"/>
        </w:rPr>
        <w:t>0</w:t>
      </w:r>
      <w:r w:rsidRPr="009546F5">
        <w:rPr>
          <w:rFonts w:asciiTheme="minorHAnsi" w:hAnsiTheme="minorHAnsi" w:cstheme="minorHAnsi"/>
          <w:sz w:val="22"/>
          <w:szCs w:val="22"/>
        </w:rPr>
        <w:t>3.2018. i propisuje opsežnu dokumentaciju koju je potrebno pribaviti da bi se uopće pristupilo izradi prijedloga Programa.</w:t>
      </w:r>
      <w:r w:rsidR="00C120F7" w:rsidRPr="009546F5">
        <w:rPr>
          <w:rFonts w:asciiTheme="minorHAnsi" w:hAnsiTheme="minorHAnsi" w:cstheme="minorHAnsi"/>
          <w:sz w:val="22"/>
          <w:szCs w:val="22"/>
        </w:rPr>
        <w:t xml:space="preserve"> </w:t>
      </w:r>
    </w:p>
    <w:p w14:paraId="545E0BA2" w14:textId="77777777" w:rsidR="009546F5" w:rsidRDefault="009546F5" w:rsidP="009546F5">
      <w:pPr>
        <w:spacing w:line="240" w:lineRule="auto"/>
        <w:jc w:val="both"/>
        <w:rPr>
          <w:rFonts w:cstheme="minorHAnsi"/>
        </w:rPr>
      </w:pPr>
    </w:p>
    <w:p w14:paraId="763F9BA4" w14:textId="0B2CE51C" w:rsidR="001E7F05" w:rsidRPr="009546F5" w:rsidRDefault="001E7F05" w:rsidP="009546F5">
      <w:pPr>
        <w:spacing w:line="240" w:lineRule="auto"/>
        <w:jc w:val="both"/>
        <w:rPr>
          <w:rFonts w:cstheme="minorHAnsi"/>
        </w:rPr>
      </w:pPr>
      <w:r w:rsidRPr="009546F5">
        <w:rPr>
          <w:rFonts w:cstheme="minorHAnsi"/>
        </w:rPr>
        <w:t xml:space="preserve">Općina </w:t>
      </w:r>
      <w:r w:rsidR="009C464E" w:rsidRPr="009546F5">
        <w:rPr>
          <w:rFonts w:cstheme="minorHAnsi"/>
        </w:rPr>
        <w:t>Darda</w:t>
      </w:r>
      <w:r w:rsidRPr="009546F5">
        <w:rPr>
          <w:rFonts w:cstheme="minorHAnsi"/>
        </w:rPr>
        <w:t xml:space="preserve"> je Program raspolaganja donijela </w:t>
      </w:r>
      <w:r w:rsidR="009C464E" w:rsidRPr="009546F5">
        <w:rPr>
          <w:rFonts w:cstheme="minorHAnsi"/>
        </w:rPr>
        <w:t>08. lipnja 2018. godine na 10</w:t>
      </w:r>
      <w:r w:rsidRPr="009546F5">
        <w:rPr>
          <w:rFonts w:cstheme="minorHAnsi"/>
        </w:rPr>
        <w:t>.</w:t>
      </w:r>
      <w:r w:rsidR="009C464E" w:rsidRPr="009546F5">
        <w:rPr>
          <w:rFonts w:cstheme="minorHAnsi"/>
        </w:rPr>
        <w:t xml:space="preserve"> sjednici Općinskog vijeća Općine Darda te je isti objavljen u „Službenom glasniku Općine Darda“ br. 05/18.</w:t>
      </w:r>
    </w:p>
    <w:p w14:paraId="3A71577D" w14:textId="77777777" w:rsidR="009C464E" w:rsidRPr="009546F5" w:rsidRDefault="009C464E" w:rsidP="009546F5">
      <w:pPr>
        <w:spacing w:after="0" w:line="240" w:lineRule="auto"/>
        <w:jc w:val="both"/>
        <w:rPr>
          <w:rFonts w:cstheme="minorHAnsi"/>
        </w:rPr>
      </w:pPr>
      <w:r w:rsidRPr="009546F5">
        <w:rPr>
          <w:rFonts w:cstheme="minorHAnsi"/>
        </w:rPr>
        <w:t xml:space="preserve">-  ovim izmjenama i dopunama Programa raspolaganja poljoprivrednim zemljištem u vlasništvu Republike Hrvatske za Općinu Darda dolazi do promjena osnovnog Programa raspolaganja poljoprivrednim zemljištem u vlasništvu Republike Hrvatske za Općinu Darda objavljenog u „Službenom glasniku Općine Darda“ br. 05/18. </w:t>
      </w:r>
    </w:p>
    <w:p w14:paraId="29363618" w14:textId="77777777" w:rsidR="009C464E" w:rsidRPr="009546F5" w:rsidRDefault="009C464E" w:rsidP="009546F5">
      <w:pPr>
        <w:spacing w:after="0" w:line="240" w:lineRule="auto"/>
        <w:jc w:val="both"/>
        <w:rPr>
          <w:rFonts w:cstheme="minorHAnsi"/>
        </w:rPr>
      </w:pPr>
      <w:r w:rsidRPr="009546F5">
        <w:rPr>
          <w:rFonts w:cstheme="minorHAnsi"/>
        </w:rPr>
        <w:t>- do izmjena dolazi ponajviše zbog Izmjena i dopuna prostornog plana Općine Darda („Službeni glasnik Općine Darda“ br. 5/06, 6-06- ispravak, 4/08, 6/12, 1/14, 4/15, 6/15- pročišćeni, 4/19, 5/19- pročišćeni i 12/22)</w:t>
      </w:r>
    </w:p>
    <w:p w14:paraId="1FC60ED6" w14:textId="77777777" w:rsidR="009C464E" w:rsidRPr="009546F5" w:rsidRDefault="009C464E" w:rsidP="009546F5">
      <w:pPr>
        <w:spacing w:after="0" w:line="240" w:lineRule="auto"/>
        <w:jc w:val="both"/>
        <w:rPr>
          <w:rFonts w:cstheme="minorHAnsi"/>
        </w:rPr>
      </w:pPr>
      <w:r w:rsidRPr="009546F5">
        <w:rPr>
          <w:rFonts w:cstheme="minorHAnsi"/>
        </w:rPr>
        <w:t>- razlog izmjena su i ažuriranje podataka i stvarnog stanja prije raspisivanja natječaja za zakup poljoprivrednim zemljištem u vlasništvu Republike Hrvatske za Općinu Darda.</w:t>
      </w:r>
    </w:p>
    <w:p w14:paraId="0C33F299" w14:textId="77777777" w:rsidR="009C464E" w:rsidRPr="009546F5" w:rsidRDefault="009C464E" w:rsidP="009546F5">
      <w:pPr>
        <w:spacing w:after="0" w:line="240" w:lineRule="auto"/>
        <w:jc w:val="both"/>
        <w:rPr>
          <w:rFonts w:cstheme="minorHAnsi"/>
        </w:rPr>
      </w:pPr>
    </w:p>
    <w:p w14:paraId="3FEE9CAB" w14:textId="77777777" w:rsidR="009C464E" w:rsidRPr="009546F5" w:rsidRDefault="009C464E" w:rsidP="009546F5">
      <w:pPr>
        <w:spacing w:after="0" w:line="240" w:lineRule="auto"/>
        <w:jc w:val="both"/>
        <w:rPr>
          <w:rFonts w:cstheme="minorHAnsi"/>
        </w:rPr>
      </w:pPr>
      <w:r w:rsidRPr="009546F5">
        <w:rPr>
          <w:rFonts w:cstheme="minorHAnsi"/>
        </w:rPr>
        <w:t>Izmjene su sljedeće:</w:t>
      </w:r>
    </w:p>
    <w:p w14:paraId="3FFD11BB" w14:textId="77777777" w:rsidR="009C464E" w:rsidRPr="009546F5" w:rsidRDefault="009C464E" w:rsidP="009546F5">
      <w:pPr>
        <w:spacing w:after="0" w:line="240" w:lineRule="auto"/>
        <w:jc w:val="both"/>
        <w:rPr>
          <w:rFonts w:cstheme="minorHAnsi"/>
        </w:rPr>
      </w:pPr>
      <w:r w:rsidRPr="009546F5">
        <w:rPr>
          <w:rFonts w:cstheme="minorHAnsi"/>
        </w:rPr>
        <w:t>1. Ovim izmjenama i dopunama se iz Programa izuzimaju kč.br. 2325/2, kč.br. 2329/7, kč.br. 2340/2, kč.br. 2540/2, kč.br. 2542/1, kč.br. 2543/1, kč.br. 2581/1, kč.br. 2826/2, kč.br. 2863/2, kč.br. 3496/3 i kč.br. 3497/3 k.o. Darda jer upravljanje navedenim parcelama preuzima tvrtka Hrvatske Ceste d.o.o.</w:t>
      </w:r>
    </w:p>
    <w:p w14:paraId="6A9E02F4" w14:textId="77777777" w:rsidR="009C464E" w:rsidRPr="009546F5" w:rsidRDefault="009C464E" w:rsidP="009546F5">
      <w:pPr>
        <w:spacing w:after="0" w:line="240" w:lineRule="auto"/>
        <w:jc w:val="both"/>
        <w:rPr>
          <w:rFonts w:cstheme="minorHAnsi"/>
        </w:rPr>
      </w:pPr>
      <w:r w:rsidRPr="009546F5">
        <w:rPr>
          <w:rFonts w:cstheme="minorHAnsi"/>
        </w:rPr>
        <w:t>2. Ovim izmjenama i dopunama se iz Programa izuzimaju kč.br. 3497/6, kč.br. 3497/7, kč.br. 3500/7, kč.br. 3500/8, kč.br. 3500/16, kč.br. 3501/3, kč.br. 3501/4, kč.br. 3589/2 i kč.br. 3589/3, kč.br. 3497/4, kč.br 3497/5, kč.br. 3500/10, kč.br. 3500/11, kč.br. 3500/13, kč.br. 3632 i kč.br. 3635 k.o. Darda jer su postale dio prometne infrastrukture.</w:t>
      </w:r>
    </w:p>
    <w:p w14:paraId="4AE44A8B" w14:textId="77777777" w:rsidR="009C464E" w:rsidRPr="009546F5" w:rsidRDefault="009C464E" w:rsidP="009546F5">
      <w:pPr>
        <w:spacing w:after="0" w:line="240" w:lineRule="auto"/>
        <w:jc w:val="both"/>
        <w:rPr>
          <w:rFonts w:cstheme="minorHAnsi"/>
        </w:rPr>
      </w:pPr>
      <w:r w:rsidRPr="009546F5">
        <w:rPr>
          <w:rFonts w:cstheme="minorHAnsi"/>
        </w:rPr>
        <w:t>3. Ovim izmjenama i dopunama se iz Programa izuzimaju kč.br. 3540/2 iz razloga što je u vlasništvu Općine Darda, javno dobro</w:t>
      </w:r>
    </w:p>
    <w:p w14:paraId="330C92A9" w14:textId="77777777" w:rsidR="009C464E" w:rsidRPr="009546F5" w:rsidRDefault="009C464E" w:rsidP="009546F5">
      <w:pPr>
        <w:spacing w:after="0" w:line="240" w:lineRule="auto"/>
        <w:jc w:val="both"/>
        <w:rPr>
          <w:rFonts w:cstheme="minorHAnsi"/>
        </w:rPr>
      </w:pPr>
      <w:r w:rsidRPr="009546F5">
        <w:rPr>
          <w:rFonts w:cstheme="minorHAnsi"/>
        </w:rPr>
        <w:t>4. Ovim izmjenama i dopunama se iz Programa izuzimaju kč.br.4/79 k.o. Bilje iz razloga što je ušla u građevinsko područje</w:t>
      </w:r>
    </w:p>
    <w:p w14:paraId="046320E9" w14:textId="77777777" w:rsidR="009C464E" w:rsidRPr="009546F5" w:rsidRDefault="009C464E" w:rsidP="009546F5">
      <w:pPr>
        <w:spacing w:after="0" w:line="240" w:lineRule="auto"/>
        <w:jc w:val="both"/>
        <w:rPr>
          <w:rFonts w:cstheme="minorHAnsi"/>
        </w:rPr>
      </w:pPr>
      <w:r w:rsidRPr="009546F5">
        <w:rPr>
          <w:rFonts w:cstheme="minorHAnsi"/>
        </w:rPr>
        <w:t>5. Ovim izmjenama i dopunama program se dopunjuje sa kč.br. 382 k.o. Bilje te kč.br. 1532/2, kč.br. 1532/3, kč.br. 1933/1, kč.br. 1933/2, kč.br. 1934/1, kkč.br. 2633/11, 2752/1, kč.br. 2752/2, kč.br. 2824/2, kč.br. 2824/4, kč.br. 2824/24, kč.br. 3537 i kč.br. 3538 k.o. Darda.</w:t>
      </w:r>
    </w:p>
    <w:p w14:paraId="1EFC027E" w14:textId="77777777" w:rsidR="009C464E" w:rsidRPr="009546F5" w:rsidRDefault="009C464E" w:rsidP="009546F5">
      <w:pPr>
        <w:spacing w:after="0" w:line="240" w:lineRule="auto"/>
        <w:jc w:val="both"/>
        <w:rPr>
          <w:rFonts w:cstheme="minorHAnsi"/>
        </w:rPr>
      </w:pPr>
    </w:p>
    <w:p w14:paraId="0D0CDFFA" w14:textId="77777777" w:rsidR="009C464E" w:rsidRPr="009546F5" w:rsidRDefault="009C464E" w:rsidP="009546F5">
      <w:pPr>
        <w:spacing w:after="0" w:line="240" w:lineRule="auto"/>
        <w:jc w:val="both"/>
        <w:rPr>
          <w:rFonts w:cstheme="minorHAnsi"/>
        </w:rPr>
      </w:pPr>
    </w:p>
    <w:p w14:paraId="2A82EB17" w14:textId="2562D14F" w:rsidR="00A43754" w:rsidRPr="009546F5" w:rsidRDefault="00A43754" w:rsidP="009546F5">
      <w:pPr>
        <w:spacing w:after="0" w:line="240" w:lineRule="auto"/>
        <w:jc w:val="both"/>
        <w:rPr>
          <w:rFonts w:cstheme="minorHAnsi"/>
        </w:rPr>
      </w:pPr>
      <w:r w:rsidRPr="009546F5">
        <w:rPr>
          <w:rFonts w:cstheme="minorHAnsi"/>
        </w:rPr>
        <w:t xml:space="preserve">KLASA: </w:t>
      </w:r>
      <w:r w:rsidR="00341F7F" w:rsidRPr="009546F5">
        <w:rPr>
          <w:rFonts w:cstheme="minorHAnsi"/>
        </w:rPr>
        <w:t>320-02/</w:t>
      </w:r>
      <w:r w:rsidR="00E66004" w:rsidRPr="009546F5">
        <w:rPr>
          <w:rFonts w:cstheme="minorHAnsi"/>
        </w:rPr>
        <w:t>25-01/</w:t>
      </w:r>
      <w:r w:rsidR="009C464E" w:rsidRPr="009546F5">
        <w:rPr>
          <w:rFonts w:cstheme="minorHAnsi"/>
        </w:rPr>
        <w:t>1</w:t>
      </w:r>
    </w:p>
    <w:p w14:paraId="7B819DA1" w14:textId="1C5ACD70" w:rsidR="00A43754" w:rsidRPr="009546F5" w:rsidRDefault="00A43754" w:rsidP="009546F5">
      <w:pPr>
        <w:spacing w:after="0" w:line="240" w:lineRule="auto"/>
        <w:jc w:val="both"/>
        <w:rPr>
          <w:rFonts w:cstheme="minorHAnsi"/>
        </w:rPr>
      </w:pPr>
      <w:r w:rsidRPr="009546F5">
        <w:rPr>
          <w:rFonts w:cstheme="minorHAnsi"/>
        </w:rPr>
        <w:t xml:space="preserve">URBROJ: </w:t>
      </w:r>
      <w:r w:rsidR="00341F7F" w:rsidRPr="009546F5">
        <w:rPr>
          <w:rFonts w:cstheme="minorHAnsi"/>
        </w:rPr>
        <w:t>2158-42-03-</w:t>
      </w:r>
      <w:r w:rsidR="00E66004" w:rsidRPr="009546F5">
        <w:rPr>
          <w:rFonts w:cstheme="minorHAnsi"/>
        </w:rPr>
        <w:t>25-</w:t>
      </w:r>
      <w:r w:rsidR="009C464E" w:rsidRPr="009546F5">
        <w:rPr>
          <w:rFonts w:cstheme="minorHAnsi"/>
        </w:rPr>
        <w:t>19</w:t>
      </w:r>
    </w:p>
    <w:p w14:paraId="3689263F" w14:textId="71B8AB14" w:rsidR="002D0F1C" w:rsidRPr="009546F5" w:rsidRDefault="009C464E" w:rsidP="009546F5">
      <w:pPr>
        <w:spacing w:after="0" w:line="240" w:lineRule="auto"/>
        <w:jc w:val="both"/>
        <w:rPr>
          <w:rFonts w:cstheme="minorHAnsi"/>
        </w:rPr>
      </w:pPr>
      <w:r w:rsidRPr="009546F5">
        <w:rPr>
          <w:rFonts w:cstheme="minorHAnsi"/>
        </w:rPr>
        <w:t>Darda</w:t>
      </w:r>
      <w:r w:rsidR="002D0F1C" w:rsidRPr="009546F5">
        <w:rPr>
          <w:rFonts w:cstheme="minorHAnsi"/>
        </w:rPr>
        <w:t xml:space="preserve">, </w:t>
      </w:r>
      <w:r w:rsidR="00253804">
        <w:rPr>
          <w:rFonts w:cstheme="minorHAnsi"/>
        </w:rPr>
        <w:t>23</w:t>
      </w:r>
      <w:bookmarkStart w:id="0" w:name="_GoBack"/>
      <w:bookmarkEnd w:id="0"/>
      <w:r w:rsidRPr="009546F5">
        <w:rPr>
          <w:rFonts w:cstheme="minorHAnsi"/>
        </w:rPr>
        <w:t>. listopada</w:t>
      </w:r>
      <w:r w:rsidR="00E66004" w:rsidRPr="009546F5">
        <w:rPr>
          <w:rFonts w:cstheme="minorHAnsi"/>
        </w:rPr>
        <w:t xml:space="preserve"> 2025</w:t>
      </w:r>
      <w:r w:rsidR="002D0F1C" w:rsidRPr="009546F5">
        <w:rPr>
          <w:rFonts w:cstheme="minorHAnsi"/>
        </w:rPr>
        <w:t>. godine</w:t>
      </w:r>
    </w:p>
    <w:p w14:paraId="04C1C67D" w14:textId="77777777" w:rsidR="00E66004" w:rsidRPr="009546F5" w:rsidRDefault="00E66004" w:rsidP="009546F5">
      <w:pPr>
        <w:spacing w:after="0" w:line="240" w:lineRule="auto"/>
        <w:jc w:val="both"/>
        <w:rPr>
          <w:rFonts w:cstheme="minorHAnsi"/>
        </w:rPr>
      </w:pPr>
    </w:p>
    <w:p w14:paraId="2670F46E" w14:textId="77777777" w:rsidR="00E66004" w:rsidRPr="009546F5" w:rsidRDefault="00E66004" w:rsidP="009546F5">
      <w:pPr>
        <w:spacing w:after="0" w:line="240" w:lineRule="auto"/>
        <w:jc w:val="both"/>
        <w:rPr>
          <w:rFonts w:cstheme="minorHAnsi"/>
        </w:rPr>
      </w:pPr>
    </w:p>
    <w:sectPr w:rsidR="00E66004" w:rsidRPr="009546F5" w:rsidSect="009546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B9F9" w14:textId="77777777" w:rsidR="003B4E3D" w:rsidRDefault="003B4E3D" w:rsidP="009A6763">
      <w:pPr>
        <w:spacing w:after="0" w:line="240" w:lineRule="auto"/>
      </w:pPr>
      <w:r>
        <w:separator/>
      </w:r>
    </w:p>
  </w:endnote>
  <w:endnote w:type="continuationSeparator" w:id="0">
    <w:p w14:paraId="04E81ABE" w14:textId="77777777" w:rsidR="003B4E3D" w:rsidRDefault="003B4E3D" w:rsidP="009A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195791"/>
      <w:docPartObj>
        <w:docPartGallery w:val="Page Numbers (Bottom of Page)"/>
        <w:docPartUnique/>
      </w:docPartObj>
    </w:sdtPr>
    <w:sdtEndPr/>
    <w:sdtContent>
      <w:p w14:paraId="5F11F007" w14:textId="027F7596" w:rsidR="00024965" w:rsidRDefault="005F4EE5">
        <w:pPr>
          <w:pStyle w:val="Podnoje"/>
          <w:jc w:val="right"/>
        </w:pPr>
        <w:r>
          <w:fldChar w:fldCharType="begin"/>
        </w:r>
        <w:r>
          <w:instrText>PAGE   \* MERGEFORMAT</w:instrText>
        </w:r>
        <w:r>
          <w:fldChar w:fldCharType="separate"/>
        </w:r>
        <w:r w:rsidR="00253804">
          <w:rPr>
            <w:noProof/>
          </w:rPr>
          <w:t>4</w:t>
        </w:r>
        <w:r>
          <w:rPr>
            <w:noProof/>
          </w:rPr>
          <w:fldChar w:fldCharType="end"/>
        </w:r>
      </w:p>
    </w:sdtContent>
  </w:sdt>
  <w:p w14:paraId="4E3235A0" w14:textId="77777777" w:rsidR="00024965" w:rsidRDefault="0002496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C1B9" w14:textId="77777777" w:rsidR="003B4E3D" w:rsidRDefault="003B4E3D" w:rsidP="009A6763">
      <w:pPr>
        <w:spacing w:after="0" w:line="240" w:lineRule="auto"/>
      </w:pPr>
      <w:r>
        <w:separator/>
      </w:r>
    </w:p>
  </w:footnote>
  <w:footnote w:type="continuationSeparator" w:id="0">
    <w:p w14:paraId="365C83A1" w14:textId="77777777" w:rsidR="003B4E3D" w:rsidRDefault="003B4E3D" w:rsidP="009A6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7412C"/>
    <w:multiLevelType w:val="hybridMultilevel"/>
    <w:tmpl w:val="EECCC0FE"/>
    <w:lvl w:ilvl="0" w:tplc="1634501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F14471"/>
    <w:multiLevelType w:val="hybridMultilevel"/>
    <w:tmpl w:val="BAD409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26"/>
    <w:rsid w:val="0002332E"/>
    <w:rsid w:val="00024965"/>
    <w:rsid w:val="00037556"/>
    <w:rsid w:val="000916CD"/>
    <w:rsid w:val="001060F9"/>
    <w:rsid w:val="00135B20"/>
    <w:rsid w:val="001C7333"/>
    <w:rsid w:val="001E7F05"/>
    <w:rsid w:val="00253804"/>
    <w:rsid w:val="002B395C"/>
    <w:rsid w:val="002D0F1C"/>
    <w:rsid w:val="00300831"/>
    <w:rsid w:val="0031686A"/>
    <w:rsid w:val="00324400"/>
    <w:rsid w:val="00331A89"/>
    <w:rsid w:val="00341F7F"/>
    <w:rsid w:val="003778E3"/>
    <w:rsid w:val="003B32B4"/>
    <w:rsid w:val="003B444A"/>
    <w:rsid w:val="003B4E3D"/>
    <w:rsid w:val="004209EF"/>
    <w:rsid w:val="004332E0"/>
    <w:rsid w:val="004B0CF3"/>
    <w:rsid w:val="004C4E16"/>
    <w:rsid w:val="00501B15"/>
    <w:rsid w:val="00522157"/>
    <w:rsid w:val="00533EA8"/>
    <w:rsid w:val="00541979"/>
    <w:rsid w:val="0055071F"/>
    <w:rsid w:val="005A0F3B"/>
    <w:rsid w:val="005A1563"/>
    <w:rsid w:val="005F4EE5"/>
    <w:rsid w:val="00611D35"/>
    <w:rsid w:val="00630A4F"/>
    <w:rsid w:val="00695299"/>
    <w:rsid w:val="006A1079"/>
    <w:rsid w:val="006D5A25"/>
    <w:rsid w:val="00714A0C"/>
    <w:rsid w:val="00726B4A"/>
    <w:rsid w:val="00760147"/>
    <w:rsid w:val="00803B11"/>
    <w:rsid w:val="0081161B"/>
    <w:rsid w:val="00864265"/>
    <w:rsid w:val="0089686D"/>
    <w:rsid w:val="008B5A40"/>
    <w:rsid w:val="008E71CA"/>
    <w:rsid w:val="008E7751"/>
    <w:rsid w:val="0093344D"/>
    <w:rsid w:val="00943BD9"/>
    <w:rsid w:val="009546F5"/>
    <w:rsid w:val="009A6763"/>
    <w:rsid w:val="009C464E"/>
    <w:rsid w:val="009F2225"/>
    <w:rsid w:val="009F4D26"/>
    <w:rsid w:val="00A31F01"/>
    <w:rsid w:val="00A43754"/>
    <w:rsid w:val="00A67CE9"/>
    <w:rsid w:val="00A846B5"/>
    <w:rsid w:val="00AA4BC0"/>
    <w:rsid w:val="00AC7E35"/>
    <w:rsid w:val="00AE466D"/>
    <w:rsid w:val="00B004B8"/>
    <w:rsid w:val="00B55475"/>
    <w:rsid w:val="00B81F48"/>
    <w:rsid w:val="00B91080"/>
    <w:rsid w:val="00BF1C93"/>
    <w:rsid w:val="00C120F7"/>
    <w:rsid w:val="00C26369"/>
    <w:rsid w:val="00C37413"/>
    <w:rsid w:val="00C92AA2"/>
    <w:rsid w:val="00C950E1"/>
    <w:rsid w:val="00CE01AD"/>
    <w:rsid w:val="00CE0F8E"/>
    <w:rsid w:val="00CE28C4"/>
    <w:rsid w:val="00CE7266"/>
    <w:rsid w:val="00D37D23"/>
    <w:rsid w:val="00D45572"/>
    <w:rsid w:val="00D674E6"/>
    <w:rsid w:val="00E048A6"/>
    <w:rsid w:val="00E2397A"/>
    <w:rsid w:val="00E66004"/>
    <w:rsid w:val="00E947DE"/>
    <w:rsid w:val="00F20AA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9365"/>
  <w15:docId w15:val="{4951699A-94AB-494F-B7FC-AD9ACEE5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B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7104">
    <w:name w:val="box_457104"/>
    <w:basedOn w:val="Normal"/>
    <w:rsid w:val="009F4D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A67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6763"/>
  </w:style>
  <w:style w:type="paragraph" w:styleId="Podnoje">
    <w:name w:val="footer"/>
    <w:basedOn w:val="Normal"/>
    <w:link w:val="PodnojeChar"/>
    <w:uiPriority w:val="99"/>
    <w:unhideWhenUsed/>
    <w:rsid w:val="009A67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6763"/>
  </w:style>
  <w:style w:type="paragraph" w:customStyle="1" w:styleId="box457264">
    <w:name w:val="box_457264"/>
    <w:basedOn w:val="Normal"/>
    <w:rsid w:val="00943B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53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3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6494">
      <w:bodyDiv w:val="1"/>
      <w:marLeft w:val="0"/>
      <w:marRight w:val="0"/>
      <w:marTop w:val="0"/>
      <w:marBottom w:val="0"/>
      <w:divBdr>
        <w:top w:val="none" w:sz="0" w:space="0" w:color="auto"/>
        <w:left w:val="none" w:sz="0" w:space="0" w:color="auto"/>
        <w:bottom w:val="none" w:sz="0" w:space="0" w:color="auto"/>
        <w:right w:val="none" w:sz="0" w:space="0" w:color="auto"/>
      </w:divBdr>
    </w:div>
    <w:div w:id="424156527">
      <w:bodyDiv w:val="1"/>
      <w:marLeft w:val="0"/>
      <w:marRight w:val="0"/>
      <w:marTop w:val="0"/>
      <w:marBottom w:val="0"/>
      <w:divBdr>
        <w:top w:val="none" w:sz="0" w:space="0" w:color="auto"/>
        <w:left w:val="none" w:sz="0" w:space="0" w:color="auto"/>
        <w:bottom w:val="none" w:sz="0" w:space="0" w:color="auto"/>
        <w:right w:val="none" w:sz="0" w:space="0" w:color="auto"/>
      </w:divBdr>
    </w:div>
    <w:div w:id="440300204">
      <w:bodyDiv w:val="1"/>
      <w:marLeft w:val="0"/>
      <w:marRight w:val="0"/>
      <w:marTop w:val="0"/>
      <w:marBottom w:val="0"/>
      <w:divBdr>
        <w:top w:val="none" w:sz="0" w:space="0" w:color="auto"/>
        <w:left w:val="none" w:sz="0" w:space="0" w:color="auto"/>
        <w:bottom w:val="none" w:sz="0" w:space="0" w:color="auto"/>
        <w:right w:val="none" w:sz="0" w:space="0" w:color="auto"/>
      </w:divBdr>
    </w:div>
    <w:div w:id="561256304">
      <w:bodyDiv w:val="1"/>
      <w:marLeft w:val="0"/>
      <w:marRight w:val="0"/>
      <w:marTop w:val="0"/>
      <w:marBottom w:val="0"/>
      <w:divBdr>
        <w:top w:val="none" w:sz="0" w:space="0" w:color="auto"/>
        <w:left w:val="none" w:sz="0" w:space="0" w:color="auto"/>
        <w:bottom w:val="none" w:sz="0" w:space="0" w:color="auto"/>
        <w:right w:val="none" w:sz="0" w:space="0" w:color="auto"/>
      </w:divBdr>
    </w:div>
    <w:div w:id="794102686">
      <w:bodyDiv w:val="1"/>
      <w:marLeft w:val="0"/>
      <w:marRight w:val="0"/>
      <w:marTop w:val="0"/>
      <w:marBottom w:val="0"/>
      <w:divBdr>
        <w:top w:val="none" w:sz="0" w:space="0" w:color="auto"/>
        <w:left w:val="none" w:sz="0" w:space="0" w:color="auto"/>
        <w:bottom w:val="none" w:sz="0" w:space="0" w:color="auto"/>
        <w:right w:val="none" w:sz="0" w:space="0" w:color="auto"/>
      </w:divBdr>
    </w:div>
    <w:div w:id="871268144">
      <w:bodyDiv w:val="1"/>
      <w:marLeft w:val="0"/>
      <w:marRight w:val="0"/>
      <w:marTop w:val="0"/>
      <w:marBottom w:val="0"/>
      <w:divBdr>
        <w:top w:val="none" w:sz="0" w:space="0" w:color="auto"/>
        <w:left w:val="none" w:sz="0" w:space="0" w:color="auto"/>
        <w:bottom w:val="none" w:sz="0" w:space="0" w:color="auto"/>
        <w:right w:val="none" w:sz="0" w:space="0" w:color="auto"/>
      </w:divBdr>
    </w:div>
    <w:div w:id="1187060025">
      <w:bodyDiv w:val="1"/>
      <w:marLeft w:val="0"/>
      <w:marRight w:val="0"/>
      <w:marTop w:val="0"/>
      <w:marBottom w:val="0"/>
      <w:divBdr>
        <w:top w:val="none" w:sz="0" w:space="0" w:color="auto"/>
        <w:left w:val="none" w:sz="0" w:space="0" w:color="auto"/>
        <w:bottom w:val="none" w:sz="0" w:space="0" w:color="auto"/>
        <w:right w:val="none" w:sz="0" w:space="0" w:color="auto"/>
      </w:divBdr>
    </w:div>
    <w:div w:id="1312173345">
      <w:bodyDiv w:val="1"/>
      <w:marLeft w:val="0"/>
      <w:marRight w:val="0"/>
      <w:marTop w:val="0"/>
      <w:marBottom w:val="0"/>
      <w:divBdr>
        <w:top w:val="none" w:sz="0" w:space="0" w:color="auto"/>
        <w:left w:val="none" w:sz="0" w:space="0" w:color="auto"/>
        <w:bottom w:val="none" w:sz="0" w:space="0" w:color="auto"/>
        <w:right w:val="none" w:sz="0" w:space="0" w:color="auto"/>
      </w:divBdr>
    </w:div>
    <w:div w:id="1669795229">
      <w:bodyDiv w:val="1"/>
      <w:marLeft w:val="0"/>
      <w:marRight w:val="0"/>
      <w:marTop w:val="0"/>
      <w:marBottom w:val="0"/>
      <w:divBdr>
        <w:top w:val="none" w:sz="0" w:space="0" w:color="auto"/>
        <w:left w:val="none" w:sz="0" w:space="0" w:color="auto"/>
        <w:bottom w:val="none" w:sz="0" w:space="0" w:color="auto"/>
        <w:right w:val="none" w:sz="0" w:space="0" w:color="auto"/>
      </w:divBdr>
    </w:div>
    <w:div w:id="20233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9268</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Darda002</cp:lastModifiedBy>
  <cp:revision>5</cp:revision>
  <cp:lastPrinted>2025-10-23T06:13:00Z</cp:lastPrinted>
  <dcterms:created xsi:type="dcterms:W3CDTF">2025-10-21T05:52:00Z</dcterms:created>
  <dcterms:modified xsi:type="dcterms:W3CDTF">2025-10-23T06:13:00Z</dcterms:modified>
</cp:coreProperties>
</file>